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63057" w14:textId="77777777" w:rsidR="00EE3C32" w:rsidRPr="00B841CE" w:rsidRDefault="00EE3C32" w:rsidP="009C598F">
      <w:pPr>
        <w:pStyle w:val="Rubrik1"/>
      </w:pPr>
    </w:p>
    <w:p w14:paraId="65D947C1" w14:textId="77777777" w:rsidR="009C598F" w:rsidRPr="00B841CE" w:rsidRDefault="009C598F" w:rsidP="009C598F">
      <w:pPr>
        <w:pStyle w:val="Rubrik1"/>
      </w:pPr>
    </w:p>
    <w:p w14:paraId="5BA2A242" w14:textId="77777777" w:rsidR="00AE0400" w:rsidRPr="00B841CE" w:rsidRDefault="00AE0400" w:rsidP="009C598F">
      <w:pPr>
        <w:pStyle w:val="Rubrik"/>
      </w:pPr>
    </w:p>
    <w:p w14:paraId="0937B471" w14:textId="77777777" w:rsidR="00AE0400" w:rsidRPr="00B841CE" w:rsidRDefault="00073BD1" w:rsidP="00073BD1">
      <w:pPr>
        <w:pStyle w:val="Rubrik"/>
        <w:jc w:val="center"/>
        <w:rPr>
          <w:sz w:val="72"/>
          <w:szCs w:val="72"/>
        </w:rPr>
      </w:pPr>
      <w:r w:rsidRPr="00B841CE">
        <w:rPr>
          <w:sz w:val="72"/>
          <w:szCs w:val="72"/>
        </w:rPr>
        <w:t>Rutin</w:t>
      </w:r>
      <w:r w:rsidR="009C598F" w:rsidRPr="00B841CE">
        <w:rPr>
          <w:sz w:val="72"/>
          <w:szCs w:val="72"/>
        </w:rPr>
        <w:t xml:space="preserve"> för </w:t>
      </w:r>
      <w:r w:rsidRPr="00B841CE">
        <w:rPr>
          <w:sz w:val="72"/>
          <w:szCs w:val="72"/>
        </w:rPr>
        <w:t xml:space="preserve">arbete med </w:t>
      </w:r>
      <w:r w:rsidR="009C598F" w:rsidRPr="00B841CE">
        <w:rPr>
          <w:sz w:val="72"/>
          <w:szCs w:val="72"/>
        </w:rPr>
        <w:t>aktiva åtgärder</w:t>
      </w:r>
      <w:r w:rsidR="00AE0400" w:rsidRPr="00B841CE">
        <w:rPr>
          <w:sz w:val="72"/>
          <w:szCs w:val="72"/>
        </w:rPr>
        <w:t xml:space="preserve"> i</w:t>
      </w:r>
      <w:r w:rsidR="009C598F" w:rsidRPr="00B841CE">
        <w:rPr>
          <w:sz w:val="72"/>
          <w:szCs w:val="72"/>
        </w:rPr>
        <w:t xml:space="preserve"> </w:t>
      </w:r>
      <w:r w:rsidR="00AE0400" w:rsidRPr="00B841CE">
        <w:rPr>
          <w:sz w:val="72"/>
          <w:szCs w:val="72"/>
        </w:rPr>
        <w:t>enlighet med</w:t>
      </w:r>
      <w:r w:rsidR="008936CB" w:rsidRPr="00B841CE">
        <w:rPr>
          <w:sz w:val="72"/>
          <w:szCs w:val="72"/>
        </w:rPr>
        <w:t xml:space="preserve"> diskrimineringslagen</w:t>
      </w:r>
    </w:p>
    <w:p w14:paraId="39120D32" w14:textId="77777777" w:rsidR="00AE0400" w:rsidRPr="00B841CE" w:rsidRDefault="00AE0400">
      <w:pPr>
        <w:rPr>
          <w:b/>
          <w:bCs/>
          <w:sz w:val="48"/>
          <w:szCs w:val="48"/>
        </w:rPr>
      </w:pPr>
      <w:r w:rsidRPr="00B841CE">
        <w:br w:type="page"/>
      </w:r>
    </w:p>
    <w:p w14:paraId="04910F35" w14:textId="77777777" w:rsidR="00AE0400" w:rsidRPr="00B841CE" w:rsidRDefault="00BB7973" w:rsidP="00BB7973">
      <w:pPr>
        <w:pStyle w:val="Rubrik"/>
        <w:tabs>
          <w:tab w:val="left" w:pos="5520"/>
        </w:tabs>
      </w:pPr>
      <w:r>
        <w:lastRenderedPageBreak/>
        <w:tab/>
      </w:r>
    </w:p>
    <w:sdt>
      <w:sdtPr>
        <w:rPr>
          <w:rFonts w:ascii="Times New Roman" w:eastAsia="Times New Roman" w:hAnsi="Times New Roman" w:cs="Times New Roman"/>
          <w:color w:val="000000"/>
          <w:sz w:val="22"/>
          <w:szCs w:val="22"/>
        </w:rPr>
        <w:id w:val="-17345420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C012823" w14:textId="77777777" w:rsidR="00884EE5" w:rsidRDefault="00884EE5">
          <w:pPr>
            <w:pStyle w:val="Innehllsfrteckningsrubrik"/>
          </w:pPr>
          <w:r>
            <w:t>Innehåll</w:t>
          </w:r>
        </w:p>
        <w:p w14:paraId="636DB648" w14:textId="77777777" w:rsidR="003F1C48" w:rsidRDefault="00884EE5">
          <w:pPr>
            <w:pStyle w:val="Innehll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7271929" w:history="1">
            <w:r w:rsidR="003F1C48" w:rsidRPr="00484BF0">
              <w:rPr>
                <w:rStyle w:val="Hyperlnk"/>
                <w:noProof/>
              </w:rPr>
              <w:t>1.</w:t>
            </w:r>
            <w:r w:rsidR="003F1C48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3F1C48" w:rsidRPr="00484BF0">
              <w:rPr>
                <w:rStyle w:val="Hyperlnk"/>
                <w:noProof/>
              </w:rPr>
              <w:t>Aktiva åtgärder för lika rättigheter och möjligheter</w:t>
            </w:r>
            <w:r w:rsidR="003F1C48">
              <w:rPr>
                <w:noProof/>
                <w:webHidden/>
              </w:rPr>
              <w:tab/>
            </w:r>
            <w:r w:rsidR="003F1C48">
              <w:rPr>
                <w:noProof/>
                <w:webHidden/>
              </w:rPr>
              <w:fldChar w:fldCharType="begin"/>
            </w:r>
            <w:r w:rsidR="003F1C48">
              <w:rPr>
                <w:noProof/>
                <w:webHidden/>
              </w:rPr>
              <w:instrText xml:space="preserve"> PAGEREF _Toc517271929 \h </w:instrText>
            </w:r>
            <w:r w:rsidR="003F1C48">
              <w:rPr>
                <w:noProof/>
                <w:webHidden/>
              </w:rPr>
            </w:r>
            <w:r w:rsidR="003F1C48">
              <w:rPr>
                <w:noProof/>
                <w:webHidden/>
              </w:rPr>
              <w:fldChar w:fldCharType="separate"/>
            </w:r>
            <w:r w:rsidR="003F1C48">
              <w:rPr>
                <w:noProof/>
                <w:webHidden/>
              </w:rPr>
              <w:t>3</w:t>
            </w:r>
            <w:r w:rsidR="003F1C48">
              <w:rPr>
                <w:noProof/>
                <w:webHidden/>
              </w:rPr>
              <w:fldChar w:fldCharType="end"/>
            </w:r>
          </w:hyperlink>
        </w:p>
        <w:p w14:paraId="02F6D3C2" w14:textId="77777777" w:rsidR="003F1C48" w:rsidRDefault="00363D10">
          <w:pPr>
            <w:pStyle w:val="Innehll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17271930" w:history="1">
            <w:r w:rsidR="003F1C48" w:rsidRPr="00484BF0">
              <w:rPr>
                <w:rStyle w:val="Hyperlnk"/>
                <w:noProof/>
              </w:rPr>
              <w:t>1.1</w:t>
            </w:r>
            <w:r w:rsidR="003F1C48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3F1C48" w:rsidRPr="00484BF0">
              <w:rPr>
                <w:rStyle w:val="Hyperlnk"/>
                <w:noProof/>
              </w:rPr>
              <w:t>Aktiva åtgärder inom fem områden</w:t>
            </w:r>
            <w:r w:rsidR="003F1C48">
              <w:rPr>
                <w:noProof/>
                <w:webHidden/>
              </w:rPr>
              <w:tab/>
            </w:r>
            <w:r w:rsidR="003F1C48">
              <w:rPr>
                <w:noProof/>
                <w:webHidden/>
              </w:rPr>
              <w:fldChar w:fldCharType="begin"/>
            </w:r>
            <w:r w:rsidR="003F1C48">
              <w:rPr>
                <w:noProof/>
                <w:webHidden/>
              </w:rPr>
              <w:instrText xml:space="preserve"> PAGEREF _Toc517271930 \h </w:instrText>
            </w:r>
            <w:r w:rsidR="003F1C48">
              <w:rPr>
                <w:noProof/>
                <w:webHidden/>
              </w:rPr>
            </w:r>
            <w:r w:rsidR="003F1C48">
              <w:rPr>
                <w:noProof/>
                <w:webHidden/>
              </w:rPr>
              <w:fldChar w:fldCharType="separate"/>
            </w:r>
            <w:r w:rsidR="003F1C48">
              <w:rPr>
                <w:noProof/>
                <w:webHidden/>
              </w:rPr>
              <w:t>3</w:t>
            </w:r>
            <w:r w:rsidR="003F1C48">
              <w:rPr>
                <w:noProof/>
                <w:webHidden/>
              </w:rPr>
              <w:fldChar w:fldCharType="end"/>
            </w:r>
          </w:hyperlink>
        </w:p>
        <w:p w14:paraId="522666A8" w14:textId="77777777" w:rsidR="003F1C48" w:rsidRDefault="00363D10">
          <w:pPr>
            <w:pStyle w:val="Innehll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17271931" w:history="1">
            <w:r w:rsidR="003F1C48" w:rsidRPr="00484BF0">
              <w:rPr>
                <w:rStyle w:val="Hyperlnk"/>
                <w:noProof/>
              </w:rPr>
              <w:t>1.2</w:t>
            </w:r>
            <w:r w:rsidR="003F1C48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3F1C48" w:rsidRPr="00484BF0">
              <w:rPr>
                <w:rStyle w:val="Hyperlnk"/>
                <w:noProof/>
              </w:rPr>
              <w:t>Vad är diskriminering?</w:t>
            </w:r>
            <w:r w:rsidR="003F1C48">
              <w:rPr>
                <w:noProof/>
                <w:webHidden/>
              </w:rPr>
              <w:tab/>
            </w:r>
            <w:r w:rsidR="003F1C48">
              <w:rPr>
                <w:noProof/>
                <w:webHidden/>
              </w:rPr>
              <w:fldChar w:fldCharType="begin"/>
            </w:r>
            <w:r w:rsidR="003F1C48">
              <w:rPr>
                <w:noProof/>
                <w:webHidden/>
              </w:rPr>
              <w:instrText xml:space="preserve"> PAGEREF _Toc517271931 \h </w:instrText>
            </w:r>
            <w:r w:rsidR="003F1C48">
              <w:rPr>
                <w:noProof/>
                <w:webHidden/>
              </w:rPr>
            </w:r>
            <w:r w:rsidR="003F1C48">
              <w:rPr>
                <w:noProof/>
                <w:webHidden/>
              </w:rPr>
              <w:fldChar w:fldCharType="separate"/>
            </w:r>
            <w:r w:rsidR="003F1C48">
              <w:rPr>
                <w:noProof/>
                <w:webHidden/>
              </w:rPr>
              <w:t>4</w:t>
            </w:r>
            <w:r w:rsidR="003F1C48">
              <w:rPr>
                <w:noProof/>
                <w:webHidden/>
              </w:rPr>
              <w:fldChar w:fldCharType="end"/>
            </w:r>
          </w:hyperlink>
        </w:p>
        <w:p w14:paraId="263D292E" w14:textId="77777777" w:rsidR="003F1C48" w:rsidRDefault="00363D10">
          <w:pPr>
            <w:pStyle w:val="Innehll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17271939" w:history="1">
            <w:r w:rsidR="003F1C48" w:rsidRPr="00484BF0">
              <w:rPr>
                <w:rStyle w:val="Hyperlnk"/>
                <w:noProof/>
              </w:rPr>
              <w:t>2.</w:t>
            </w:r>
            <w:r w:rsidR="003F1C48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3F1C48" w:rsidRPr="00484BF0">
              <w:rPr>
                <w:rStyle w:val="Hyperlnk"/>
                <w:noProof/>
              </w:rPr>
              <w:t>Aktiva åtgärder, ett arbete i fyra steg – så här arbetar vi</w:t>
            </w:r>
            <w:r w:rsidR="003F1C48">
              <w:rPr>
                <w:noProof/>
                <w:webHidden/>
              </w:rPr>
              <w:tab/>
            </w:r>
            <w:r w:rsidR="003F1C48">
              <w:rPr>
                <w:noProof/>
                <w:webHidden/>
              </w:rPr>
              <w:fldChar w:fldCharType="begin"/>
            </w:r>
            <w:r w:rsidR="003F1C48">
              <w:rPr>
                <w:noProof/>
                <w:webHidden/>
              </w:rPr>
              <w:instrText xml:space="preserve"> PAGEREF _Toc517271939 \h </w:instrText>
            </w:r>
            <w:r w:rsidR="003F1C48">
              <w:rPr>
                <w:noProof/>
                <w:webHidden/>
              </w:rPr>
            </w:r>
            <w:r w:rsidR="003F1C48">
              <w:rPr>
                <w:noProof/>
                <w:webHidden/>
              </w:rPr>
              <w:fldChar w:fldCharType="separate"/>
            </w:r>
            <w:r w:rsidR="003F1C48">
              <w:rPr>
                <w:noProof/>
                <w:webHidden/>
              </w:rPr>
              <w:t>5</w:t>
            </w:r>
            <w:r w:rsidR="003F1C48">
              <w:rPr>
                <w:noProof/>
                <w:webHidden/>
              </w:rPr>
              <w:fldChar w:fldCharType="end"/>
            </w:r>
          </w:hyperlink>
        </w:p>
        <w:p w14:paraId="136194A4" w14:textId="77777777" w:rsidR="003F1C48" w:rsidRDefault="00363D10">
          <w:pPr>
            <w:pStyle w:val="Innehll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17271940" w:history="1">
            <w:r w:rsidR="003F1C48" w:rsidRPr="00484BF0">
              <w:rPr>
                <w:rStyle w:val="Hyperlnk"/>
                <w:noProof/>
              </w:rPr>
              <w:t>3.</w:t>
            </w:r>
            <w:r w:rsidR="003F1C48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3F1C48" w:rsidRPr="00484BF0">
              <w:rPr>
                <w:rStyle w:val="Hyperlnk"/>
                <w:noProof/>
              </w:rPr>
              <w:t>Uppföljning och dokumentation</w:t>
            </w:r>
            <w:r w:rsidR="003F1C48">
              <w:rPr>
                <w:noProof/>
                <w:webHidden/>
              </w:rPr>
              <w:tab/>
            </w:r>
            <w:r w:rsidR="003F1C48">
              <w:rPr>
                <w:noProof/>
                <w:webHidden/>
              </w:rPr>
              <w:fldChar w:fldCharType="begin"/>
            </w:r>
            <w:r w:rsidR="003F1C48">
              <w:rPr>
                <w:noProof/>
                <w:webHidden/>
              </w:rPr>
              <w:instrText xml:space="preserve"> PAGEREF _Toc517271940 \h </w:instrText>
            </w:r>
            <w:r w:rsidR="003F1C48">
              <w:rPr>
                <w:noProof/>
                <w:webHidden/>
              </w:rPr>
            </w:r>
            <w:r w:rsidR="003F1C48">
              <w:rPr>
                <w:noProof/>
                <w:webHidden/>
              </w:rPr>
              <w:fldChar w:fldCharType="separate"/>
            </w:r>
            <w:r w:rsidR="003F1C48">
              <w:rPr>
                <w:noProof/>
                <w:webHidden/>
              </w:rPr>
              <w:t>6</w:t>
            </w:r>
            <w:r w:rsidR="003F1C48">
              <w:rPr>
                <w:noProof/>
                <w:webHidden/>
              </w:rPr>
              <w:fldChar w:fldCharType="end"/>
            </w:r>
          </w:hyperlink>
        </w:p>
        <w:p w14:paraId="219023A2" w14:textId="77777777" w:rsidR="003F1C48" w:rsidRDefault="003F1C48">
          <w:pPr>
            <w:pStyle w:val="Innehll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</w:p>
        <w:p w14:paraId="31B3BF57" w14:textId="77777777" w:rsidR="00884EE5" w:rsidRDefault="00884EE5">
          <w:r>
            <w:rPr>
              <w:b/>
              <w:bCs/>
            </w:rPr>
            <w:fldChar w:fldCharType="end"/>
          </w:r>
        </w:p>
      </w:sdtContent>
    </w:sdt>
    <w:p w14:paraId="57C03D01" w14:textId="77777777" w:rsidR="009C598F" w:rsidRPr="00B841CE" w:rsidRDefault="003F1C48" w:rsidP="003F1C48">
      <w:pPr>
        <w:pStyle w:val="Rubrik"/>
        <w:tabs>
          <w:tab w:val="left" w:pos="1380"/>
        </w:tabs>
      </w:pPr>
      <w:r>
        <w:tab/>
      </w:r>
    </w:p>
    <w:p w14:paraId="04F12563" w14:textId="77777777" w:rsidR="00A21305" w:rsidRPr="00B841CE" w:rsidRDefault="00A21305" w:rsidP="00A21305">
      <w:pPr>
        <w:ind w:left="360"/>
        <w:rPr>
          <w:sz w:val="24"/>
          <w:szCs w:val="24"/>
        </w:rPr>
      </w:pPr>
    </w:p>
    <w:p w14:paraId="3233E829" w14:textId="77777777" w:rsidR="00BA2591" w:rsidRPr="00B841CE" w:rsidRDefault="00BA2591" w:rsidP="00A21305">
      <w:pPr>
        <w:ind w:left="360"/>
        <w:rPr>
          <w:sz w:val="24"/>
          <w:szCs w:val="24"/>
        </w:rPr>
      </w:pPr>
    </w:p>
    <w:p w14:paraId="0C5E3248" w14:textId="77777777" w:rsidR="00BA2591" w:rsidRPr="00B841CE" w:rsidRDefault="00BA2591" w:rsidP="00A21305">
      <w:pPr>
        <w:ind w:left="360"/>
        <w:rPr>
          <w:sz w:val="24"/>
          <w:szCs w:val="24"/>
        </w:rPr>
      </w:pPr>
    </w:p>
    <w:p w14:paraId="14BBAF47" w14:textId="77777777" w:rsidR="00BA2591" w:rsidRPr="00B841CE" w:rsidRDefault="00BA2591">
      <w:pPr>
        <w:rPr>
          <w:sz w:val="24"/>
          <w:szCs w:val="24"/>
        </w:rPr>
      </w:pPr>
      <w:r w:rsidRPr="00B841CE">
        <w:rPr>
          <w:sz w:val="24"/>
          <w:szCs w:val="24"/>
        </w:rPr>
        <w:br w:type="page"/>
      </w:r>
    </w:p>
    <w:p w14:paraId="7F3FF654" w14:textId="77777777" w:rsidR="00BA2591" w:rsidRPr="00B841CE" w:rsidRDefault="00BA2591" w:rsidP="00A21305">
      <w:pPr>
        <w:ind w:left="360"/>
        <w:rPr>
          <w:sz w:val="24"/>
          <w:szCs w:val="24"/>
        </w:rPr>
      </w:pPr>
    </w:p>
    <w:p w14:paraId="53D9F5EA" w14:textId="77777777" w:rsidR="00BA2591" w:rsidRPr="00B841CE" w:rsidRDefault="00BA2591" w:rsidP="00A21305">
      <w:pPr>
        <w:ind w:left="360"/>
        <w:rPr>
          <w:sz w:val="24"/>
          <w:szCs w:val="24"/>
        </w:rPr>
      </w:pPr>
    </w:p>
    <w:p w14:paraId="6BBC0685" w14:textId="77777777" w:rsidR="00A21305" w:rsidRPr="00B841CE" w:rsidRDefault="00DC6575" w:rsidP="00EE3C32">
      <w:pPr>
        <w:pStyle w:val="Rubrik1"/>
        <w:numPr>
          <w:ilvl w:val="0"/>
          <w:numId w:val="15"/>
        </w:numPr>
      </w:pPr>
      <w:bookmarkStart w:id="0" w:name="_Toc517271929"/>
      <w:r>
        <w:t>Aktiva åtgärder för l</w:t>
      </w:r>
      <w:r w:rsidR="00A21305" w:rsidRPr="00B841CE">
        <w:t>ika rättigheter och möj</w:t>
      </w:r>
      <w:r w:rsidR="008936CB" w:rsidRPr="00B841CE">
        <w:t>ligheter</w:t>
      </w:r>
      <w:bookmarkEnd w:id="0"/>
    </w:p>
    <w:p w14:paraId="27530777" w14:textId="77777777" w:rsidR="00412330" w:rsidRPr="00B841CE" w:rsidRDefault="00412330" w:rsidP="00412330"/>
    <w:p w14:paraId="3752307B" w14:textId="77777777" w:rsidR="00973610" w:rsidRDefault="00973610" w:rsidP="00973610">
      <w:pPr>
        <w:rPr>
          <w:sz w:val="24"/>
          <w:szCs w:val="24"/>
        </w:rPr>
      </w:pPr>
      <w:r w:rsidRPr="00B841CE">
        <w:rPr>
          <w:sz w:val="24"/>
          <w:szCs w:val="24"/>
        </w:rPr>
        <w:t xml:space="preserve">Haninge kommuns verksamhet ska präglas av allas lika värde. Haninge kommun ser mångfald som en styrka som ger oss bättre förutsättningar att lyckas med vårt uppdrag och </w:t>
      </w:r>
      <w:r w:rsidR="00391703">
        <w:rPr>
          <w:sz w:val="24"/>
          <w:szCs w:val="24"/>
        </w:rPr>
        <w:t xml:space="preserve">som </w:t>
      </w:r>
      <w:r w:rsidRPr="00B841CE">
        <w:rPr>
          <w:sz w:val="24"/>
          <w:szCs w:val="24"/>
        </w:rPr>
        <w:t>bid</w:t>
      </w:r>
      <w:r>
        <w:rPr>
          <w:sz w:val="24"/>
          <w:szCs w:val="24"/>
        </w:rPr>
        <w:t>rar till kommunens</w:t>
      </w:r>
      <w:r w:rsidRPr="00B841CE">
        <w:rPr>
          <w:sz w:val="24"/>
          <w:szCs w:val="24"/>
        </w:rPr>
        <w:t xml:space="preserve"> attraktivitet som arbetsgivare. </w:t>
      </w:r>
    </w:p>
    <w:p w14:paraId="671AA6C3" w14:textId="77777777" w:rsidR="00973610" w:rsidRDefault="00973610" w:rsidP="00973610">
      <w:pPr>
        <w:rPr>
          <w:sz w:val="24"/>
          <w:szCs w:val="24"/>
        </w:rPr>
      </w:pPr>
    </w:p>
    <w:p w14:paraId="047C7D01" w14:textId="77777777" w:rsidR="00973610" w:rsidRDefault="00973610" w:rsidP="00973610">
      <w:pPr>
        <w:rPr>
          <w:sz w:val="24"/>
          <w:szCs w:val="24"/>
        </w:rPr>
      </w:pPr>
      <w:r>
        <w:rPr>
          <w:sz w:val="24"/>
          <w:szCs w:val="24"/>
        </w:rPr>
        <w:t>Arbetsgivaren</w:t>
      </w:r>
      <w:r w:rsidRPr="00B841CE">
        <w:rPr>
          <w:sz w:val="24"/>
          <w:szCs w:val="24"/>
        </w:rPr>
        <w:t xml:space="preserve"> har i enlighet med diskrimineringslagen, 3 kap. 2-4 §§, skyldighet att </w:t>
      </w:r>
      <w:r>
        <w:rPr>
          <w:sz w:val="24"/>
          <w:szCs w:val="24"/>
        </w:rPr>
        <w:t>löpande arbeta för att motverka</w:t>
      </w:r>
      <w:r w:rsidRPr="00B841CE">
        <w:rPr>
          <w:sz w:val="24"/>
          <w:szCs w:val="24"/>
        </w:rPr>
        <w:t xml:space="preserve"> diskriminering och verka för lika rättigheter och möjligheter</w:t>
      </w:r>
      <w:r>
        <w:rPr>
          <w:sz w:val="24"/>
          <w:szCs w:val="24"/>
        </w:rPr>
        <w:t xml:space="preserve"> oavsett diskrimineringsgrund, s</w:t>
      </w:r>
      <w:r w:rsidRPr="00B841CE">
        <w:rPr>
          <w:sz w:val="24"/>
          <w:szCs w:val="24"/>
        </w:rPr>
        <w:t>amt</w:t>
      </w:r>
      <w:r>
        <w:rPr>
          <w:sz w:val="24"/>
          <w:szCs w:val="24"/>
        </w:rPr>
        <w:t xml:space="preserve"> att</w:t>
      </w:r>
      <w:r w:rsidRPr="00B841CE">
        <w:rPr>
          <w:sz w:val="24"/>
          <w:szCs w:val="24"/>
        </w:rPr>
        <w:t xml:space="preserve"> arbeta systematiskt med aktiva åtgärder. </w:t>
      </w:r>
      <w:r w:rsidR="006B7EA0">
        <w:rPr>
          <w:sz w:val="24"/>
          <w:szCs w:val="24"/>
        </w:rPr>
        <w:t xml:space="preserve">Aktiva åtgärder kan beskrivas som aktiviteter och handlingar som arbetsgivaren vidtar för att </w:t>
      </w:r>
      <w:r w:rsidR="00391703">
        <w:rPr>
          <w:sz w:val="24"/>
          <w:szCs w:val="24"/>
        </w:rPr>
        <w:t>motverka och förebygga att</w:t>
      </w:r>
      <w:r w:rsidR="006B7EA0">
        <w:rPr>
          <w:sz w:val="24"/>
          <w:szCs w:val="24"/>
        </w:rPr>
        <w:t xml:space="preserve"> diskriminering sker. </w:t>
      </w:r>
      <w:r w:rsidR="006B7EA0" w:rsidRPr="00B841CE">
        <w:rPr>
          <w:sz w:val="24"/>
          <w:szCs w:val="24"/>
        </w:rPr>
        <w:t>Arbetet ska bedrivas i samverkan med medarbetarna och de fackliga organisationerna och</w:t>
      </w:r>
      <w:r w:rsidR="00391703">
        <w:rPr>
          <w:sz w:val="24"/>
          <w:szCs w:val="24"/>
        </w:rPr>
        <w:t xml:space="preserve"> arbetet</w:t>
      </w:r>
      <w:r w:rsidR="006B7EA0" w:rsidRPr="00B841CE">
        <w:rPr>
          <w:sz w:val="24"/>
          <w:szCs w:val="24"/>
        </w:rPr>
        <w:t xml:space="preserve"> ska dokumenteras.</w:t>
      </w:r>
    </w:p>
    <w:p w14:paraId="36D45400" w14:textId="77777777" w:rsidR="00973610" w:rsidRPr="00B841CE" w:rsidRDefault="00973610" w:rsidP="00973610">
      <w:pPr>
        <w:rPr>
          <w:sz w:val="24"/>
          <w:szCs w:val="24"/>
        </w:rPr>
      </w:pPr>
    </w:p>
    <w:p w14:paraId="0AA7462A" w14:textId="77777777" w:rsidR="00B841CE" w:rsidRDefault="00A01D51" w:rsidP="00DB2BDA">
      <w:pPr>
        <w:rPr>
          <w:sz w:val="24"/>
          <w:szCs w:val="24"/>
        </w:rPr>
      </w:pPr>
      <w:r>
        <w:rPr>
          <w:sz w:val="24"/>
          <w:szCs w:val="24"/>
        </w:rPr>
        <w:t>Arbetet med mångfald ska ses som en del utav verksamhetens</w:t>
      </w:r>
      <w:r w:rsidR="00B73B0D">
        <w:rPr>
          <w:sz w:val="24"/>
          <w:szCs w:val="24"/>
        </w:rPr>
        <w:t xml:space="preserve"> ordinarie löpande arbete, vilket</w:t>
      </w:r>
      <w:r>
        <w:rPr>
          <w:sz w:val="24"/>
          <w:szCs w:val="24"/>
        </w:rPr>
        <w:t xml:space="preserve"> innebär att </w:t>
      </w:r>
      <w:r w:rsidR="00973610">
        <w:rPr>
          <w:sz w:val="24"/>
          <w:szCs w:val="24"/>
        </w:rPr>
        <w:t xml:space="preserve">aktiva </w:t>
      </w:r>
      <w:r>
        <w:rPr>
          <w:sz w:val="24"/>
          <w:szCs w:val="24"/>
        </w:rPr>
        <w:t>åtgärder och aktiviteter ska inarbetas i verksamhetsplanen</w:t>
      </w:r>
      <w:r w:rsidR="00B73B0D">
        <w:rPr>
          <w:sz w:val="24"/>
          <w:szCs w:val="24"/>
        </w:rPr>
        <w:t>. Arbetet</w:t>
      </w:r>
      <w:r w:rsidR="00391703">
        <w:rPr>
          <w:sz w:val="24"/>
          <w:szCs w:val="24"/>
        </w:rPr>
        <w:t xml:space="preserve"> ska utifrån</w:t>
      </w:r>
      <w:r w:rsidR="006B7EA0">
        <w:rPr>
          <w:sz w:val="24"/>
          <w:szCs w:val="24"/>
        </w:rPr>
        <w:t xml:space="preserve"> diskrimineringslagen bedrivas enligt en metod i fyra steg och</w:t>
      </w:r>
      <w:r w:rsidR="00B73B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kan med fördel samordnas med det </w:t>
      </w:r>
      <w:r w:rsidR="00B73B0D">
        <w:rPr>
          <w:sz w:val="24"/>
          <w:szCs w:val="24"/>
        </w:rPr>
        <w:t>systematiska arbetsmiljöarbetet</w:t>
      </w:r>
      <w:r w:rsidR="006B7EA0">
        <w:rPr>
          <w:sz w:val="24"/>
          <w:szCs w:val="24"/>
        </w:rPr>
        <w:t>. P</w:t>
      </w:r>
      <w:r>
        <w:rPr>
          <w:sz w:val="24"/>
          <w:szCs w:val="24"/>
        </w:rPr>
        <w:t>å så sätt</w:t>
      </w:r>
      <w:r w:rsidR="00E12AA1">
        <w:rPr>
          <w:sz w:val="24"/>
          <w:szCs w:val="24"/>
        </w:rPr>
        <w:t xml:space="preserve"> undersöker, analyserar, åtgärdar och</w:t>
      </w:r>
      <w:r>
        <w:rPr>
          <w:sz w:val="24"/>
          <w:szCs w:val="24"/>
        </w:rPr>
        <w:t xml:space="preserve"> följer vi upp </w:t>
      </w:r>
      <w:r w:rsidR="00E12AA1">
        <w:rPr>
          <w:sz w:val="24"/>
          <w:szCs w:val="24"/>
        </w:rPr>
        <w:t>såväl våra skyldighe</w:t>
      </w:r>
      <w:r w:rsidR="00B73B0D">
        <w:rPr>
          <w:sz w:val="24"/>
          <w:szCs w:val="24"/>
        </w:rPr>
        <w:t>ter en</w:t>
      </w:r>
      <w:r w:rsidR="00391703">
        <w:rPr>
          <w:sz w:val="24"/>
          <w:szCs w:val="24"/>
        </w:rPr>
        <w:t>ligt diskrimineringslagen som arbetsmiljölagen</w:t>
      </w:r>
      <w:r w:rsidR="00E12AA1">
        <w:rPr>
          <w:sz w:val="24"/>
          <w:szCs w:val="24"/>
        </w:rPr>
        <w:t xml:space="preserve">. </w:t>
      </w:r>
    </w:p>
    <w:p w14:paraId="4E3B7BA5" w14:textId="77777777" w:rsidR="0052040B" w:rsidRPr="00B841CE" w:rsidRDefault="0052040B" w:rsidP="00DB2BDA">
      <w:pPr>
        <w:rPr>
          <w:sz w:val="24"/>
          <w:szCs w:val="24"/>
        </w:rPr>
      </w:pPr>
    </w:p>
    <w:p w14:paraId="5B03403B" w14:textId="77777777" w:rsidR="00A21305" w:rsidRPr="00B841CE" w:rsidRDefault="00A21305" w:rsidP="00DB2BDA">
      <w:pPr>
        <w:rPr>
          <w:sz w:val="24"/>
          <w:szCs w:val="24"/>
        </w:rPr>
      </w:pPr>
      <w:r w:rsidRPr="00B841CE">
        <w:rPr>
          <w:sz w:val="24"/>
          <w:szCs w:val="24"/>
        </w:rPr>
        <w:t>Skyddet mot diskriminering i arbetslivet gäller för:</w:t>
      </w:r>
    </w:p>
    <w:p w14:paraId="26C408BA" w14:textId="77777777" w:rsidR="00A21305" w:rsidRPr="00B841CE" w:rsidRDefault="00A21305" w:rsidP="009C598F">
      <w:pPr>
        <w:pStyle w:val="Liststyck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841CE">
        <w:rPr>
          <w:rFonts w:ascii="Times New Roman" w:hAnsi="Times New Roman" w:cs="Times New Roman"/>
          <w:sz w:val="24"/>
          <w:szCs w:val="24"/>
        </w:rPr>
        <w:t>Anställda</w:t>
      </w:r>
    </w:p>
    <w:p w14:paraId="498F939F" w14:textId="77777777" w:rsidR="00A21305" w:rsidRPr="00B841CE" w:rsidRDefault="00A21305" w:rsidP="009C598F">
      <w:pPr>
        <w:pStyle w:val="Liststyck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841CE">
        <w:rPr>
          <w:rFonts w:ascii="Times New Roman" w:hAnsi="Times New Roman" w:cs="Times New Roman"/>
          <w:sz w:val="24"/>
          <w:szCs w:val="24"/>
        </w:rPr>
        <w:t>Arbetssökande</w:t>
      </w:r>
    </w:p>
    <w:p w14:paraId="241F229D" w14:textId="77777777" w:rsidR="00A21305" w:rsidRPr="00B841CE" w:rsidRDefault="00A21305" w:rsidP="009C598F">
      <w:pPr>
        <w:pStyle w:val="Liststyck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841CE">
        <w:rPr>
          <w:rFonts w:ascii="Times New Roman" w:hAnsi="Times New Roman" w:cs="Times New Roman"/>
          <w:sz w:val="24"/>
          <w:szCs w:val="24"/>
        </w:rPr>
        <w:t>Praktikanter och de som söker praktik</w:t>
      </w:r>
    </w:p>
    <w:p w14:paraId="597FB16F" w14:textId="77777777" w:rsidR="00412330" w:rsidRPr="00B841CE" w:rsidRDefault="00A21305" w:rsidP="002C0A3C">
      <w:pPr>
        <w:pStyle w:val="Liststycke"/>
        <w:numPr>
          <w:ilvl w:val="0"/>
          <w:numId w:val="12"/>
        </w:numPr>
      </w:pPr>
      <w:r w:rsidRPr="00973610">
        <w:rPr>
          <w:rFonts w:ascii="Times New Roman" w:hAnsi="Times New Roman" w:cs="Times New Roman"/>
          <w:sz w:val="24"/>
          <w:szCs w:val="24"/>
        </w:rPr>
        <w:t>Konsulter eller annan inhyrd eller inlånad personal</w:t>
      </w:r>
    </w:p>
    <w:p w14:paraId="12C6C558" w14:textId="77777777" w:rsidR="00A21305" w:rsidRPr="00B841CE" w:rsidRDefault="00A21305" w:rsidP="009C598F">
      <w:pPr>
        <w:rPr>
          <w:sz w:val="24"/>
          <w:szCs w:val="24"/>
        </w:rPr>
      </w:pPr>
      <w:r w:rsidRPr="00B841CE">
        <w:rPr>
          <w:sz w:val="24"/>
          <w:szCs w:val="24"/>
        </w:rPr>
        <w:t xml:space="preserve">Aktiva åtgärder </w:t>
      </w:r>
      <w:r w:rsidR="002752E4">
        <w:rPr>
          <w:sz w:val="24"/>
          <w:szCs w:val="24"/>
        </w:rPr>
        <w:t xml:space="preserve">bedrivs utifrån </w:t>
      </w:r>
      <w:r w:rsidR="00B841CE">
        <w:rPr>
          <w:sz w:val="24"/>
          <w:szCs w:val="24"/>
        </w:rPr>
        <w:t>diskrimineringsgrund</w:t>
      </w:r>
      <w:r w:rsidR="002752E4">
        <w:rPr>
          <w:sz w:val="24"/>
          <w:szCs w:val="24"/>
        </w:rPr>
        <w:t>erna</w:t>
      </w:r>
      <w:r w:rsidRPr="00B841CE">
        <w:rPr>
          <w:sz w:val="24"/>
          <w:szCs w:val="24"/>
        </w:rPr>
        <w:t>:</w:t>
      </w:r>
    </w:p>
    <w:p w14:paraId="6E8D8886" w14:textId="77777777" w:rsidR="00A21305" w:rsidRPr="00B841CE" w:rsidRDefault="00A21305" w:rsidP="009C598F">
      <w:pPr>
        <w:pStyle w:val="Liststyck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841CE">
        <w:rPr>
          <w:rFonts w:ascii="Times New Roman" w:hAnsi="Times New Roman" w:cs="Times New Roman"/>
          <w:sz w:val="24"/>
          <w:szCs w:val="24"/>
        </w:rPr>
        <w:t>Kön</w:t>
      </w:r>
    </w:p>
    <w:p w14:paraId="46BB686D" w14:textId="77777777" w:rsidR="00A21305" w:rsidRPr="00B841CE" w:rsidRDefault="00A21305" w:rsidP="009C598F">
      <w:pPr>
        <w:pStyle w:val="Liststyck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841CE">
        <w:rPr>
          <w:rFonts w:ascii="Times New Roman" w:hAnsi="Times New Roman" w:cs="Times New Roman"/>
          <w:sz w:val="24"/>
          <w:szCs w:val="24"/>
        </w:rPr>
        <w:t>Könsidentitet eller uttryck</w:t>
      </w:r>
    </w:p>
    <w:p w14:paraId="1EA1FF3B" w14:textId="77777777" w:rsidR="00A21305" w:rsidRPr="00B841CE" w:rsidRDefault="00A21305" w:rsidP="009C598F">
      <w:pPr>
        <w:pStyle w:val="Liststyck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841CE">
        <w:rPr>
          <w:rFonts w:ascii="Times New Roman" w:hAnsi="Times New Roman" w:cs="Times New Roman"/>
          <w:sz w:val="24"/>
          <w:szCs w:val="24"/>
        </w:rPr>
        <w:t>Etnisk tillhörighet</w:t>
      </w:r>
    </w:p>
    <w:p w14:paraId="47C947E9" w14:textId="77777777" w:rsidR="00A21305" w:rsidRPr="00B841CE" w:rsidRDefault="00A21305" w:rsidP="009C598F">
      <w:pPr>
        <w:pStyle w:val="Liststyck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841CE">
        <w:rPr>
          <w:rFonts w:ascii="Times New Roman" w:hAnsi="Times New Roman" w:cs="Times New Roman"/>
          <w:sz w:val="24"/>
          <w:szCs w:val="24"/>
        </w:rPr>
        <w:t>Religion eller annan trosuppfattning</w:t>
      </w:r>
    </w:p>
    <w:p w14:paraId="0FD88872" w14:textId="77777777" w:rsidR="00A21305" w:rsidRPr="00B841CE" w:rsidRDefault="00A21305" w:rsidP="009C598F">
      <w:pPr>
        <w:pStyle w:val="Liststyck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841CE">
        <w:rPr>
          <w:rFonts w:ascii="Times New Roman" w:hAnsi="Times New Roman" w:cs="Times New Roman"/>
          <w:sz w:val="24"/>
          <w:szCs w:val="24"/>
        </w:rPr>
        <w:t>Funktionsnedsättning</w:t>
      </w:r>
    </w:p>
    <w:p w14:paraId="00F725E1" w14:textId="77777777" w:rsidR="00A21305" w:rsidRPr="00B841CE" w:rsidRDefault="00A21305" w:rsidP="009C598F">
      <w:pPr>
        <w:pStyle w:val="Liststyck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841CE">
        <w:rPr>
          <w:rFonts w:ascii="Times New Roman" w:hAnsi="Times New Roman" w:cs="Times New Roman"/>
          <w:sz w:val="24"/>
          <w:szCs w:val="24"/>
        </w:rPr>
        <w:t>Sexuell läggning</w:t>
      </w:r>
    </w:p>
    <w:p w14:paraId="2474DF83" w14:textId="77777777" w:rsidR="00A81B57" w:rsidRDefault="00A21305" w:rsidP="00DB1B1D">
      <w:pPr>
        <w:pStyle w:val="Liststyck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841CE">
        <w:rPr>
          <w:rFonts w:ascii="Times New Roman" w:hAnsi="Times New Roman" w:cs="Times New Roman"/>
          <w:sz w:val="24"/>
          <w:szCs w:val="24"/>
        </w:rPr>
        <w:t>Ålder</w:t>
      </w:r>
    </w:p>
    <w:p w14:paraId="32AF75F7" w14:textId="77777777" w:rsidR="00DB1B1D" w:rsidRPr="00DB1B1D" w:rsidRDefault="00DB1B1D" w:rsidP="00DB1B1D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104D4DC0" w14:textId="77777777" w:rsidR="00A21305" w:rsidRPr="00B841CE" w:rsidRDefault="003607B5" w:rsidP="00A81B57">
      <w:pPr>
        <w:pStyle w:val="Rubrik2"/>
        <w:numPr>
          <w:ilvl w:val="1"/>
          <w:numId w:val="22"/>
        </w:numPr>
      </w:pPr>
      <w:r>
        <w:t xml:space="preserve"> </w:t>
      </w:r>
      <w:bookmarkStart w:id="1" w:name="_Toc517271930"/>
      <w:r w:rsidR="00973610">
        <w:t>Aktiva</w:t>
      </w:r>
      <w:r w:rsidR="001842ED" w:rsidRPr="00F80D0C">
        <w:t xml:space="preserve"> åtgärder</w:t>
      </w:r>
      <w:r w:rsidR="00973610">
        <w:t xml:space="preserve"> inom fem områden</w:t>
      </w:r>
      <w:bookmarkEnd w:id="1"/>
    </w:p>
    <w:p w14:paraId="00AC85C0" w14:textId="77777777" w:rsidR="00A81B57" w:rsidRDefault="00A81B57" w:rsidP="00A81B57">
      <w:pPr>
        <w:rPr>
          <w:sz w:val="24"/>
          <w:szCs w:val="24"/>
        </w:rPr>
      </w:pPr>
    </w:p>
    <w:p w14:paraId="7593BB0D" w14:textId="77777777" w:rsidR="00A81B57" w:rsidRDefault="00A21305" w:rsidP="00A81B57">
      <w:pPr>
        <w:rPr>
          <w:sz w:val="24"/>
          <w:szCs w:val="24"/>
        </w:rPr>
      </w:pPr>
      <w:r w:rsidRPr="00B841CE">
        <w:rPr>
          <w:sz w:val="24"/>
          <w:szCs w:val="24"/>
        </w:rPr>
        <w:t xml:space="preserve">I enlighet med </w:t>
      </w:r>
      <w:r w:rsidR="00D04C3C" w:rsidRPr="00B841CE">
        <w:rPr>
          <w:sz w:val="24"/>
          <w:szCs w:val="24"/>
        </w:rPr>
        <w:t>diskrimineringslagen</w:t>
      </w:r>
      <w:r w:rsidR="00D04C3C">
        <w:rPr>
          <w:sz w:val="24"/>
          <w:szCs w:val="24"/>
        </w:rPr>
        <w:t>,</w:t>
      </w:r>
      <w:r w:rsidR="00D04C3C" w:rsidRPr="00B841CE">
        <w:rPr>
          <w:sz w:val="24"/>
          <w:szCs w:val="24"/>
        </w:rPr>
        <w:t xml:space="preserve"> </w:t>
      </w:r>
      <w:r w:rsidRPr="00B841CE">
        <w:rPr>
          <w:sz w:val="24"/>
          <w:szCs w:val="24"/>
        </w:rPr>
        <w:t xml:space="preserve">3 kap. 5 § ska aktiva åtgärder </w:t>
      </w:r>
      <w:r w:rsidR="001842ED">
        <w:rPr>
          <w:sz w:val="24"/>
          <w:szCs w:val="24"/>
        </w:rPr>
        <w:t>bedrivas utifrån fem områden inom verksamheten</w:t>
      </w:r>
      <w:r w:rsidR="00D04C3C">
        <w:rPr>
          <w:sz w:val="24"/>
          <w:szCs w:val="24"/>
        </w:rPr>
        <w:t xml:space="preserve"> och</w:t>
      </w:r>
      <w:r w:rsidR="00454557">
        <w:rPr>
          <w:sz w:val="24"/>
          <w:szCs w:val="24"/>
        </w:rPr>
        <w:t xml:space="preserve"> samtliga sj</w:t>
      </w:r>
      <w:r w:rsidR="00DB1B1D">
        <w:rPr>
          <w:sz w:val="24"/>
          <w:szCs w:val="24"/>
        </w:rPr>
        <w:t>u diskrimineringsgrunder</w:t>
      </w:r>
      <w:r w:rsidRPr="00B841CE">
        <w:rPr>
          <w:sz w:val="24"/>
          <w:szCs w:val="24"/>
        </w:rPr>
        <w:t>:</w:t>
      </w:r>
      <w:bookmarkStart w:id="2" w:name="_Toc515277542"/>
      <w:bookmarkStart w:id="3" w:name="_Toc515279613"/>
    </w:p>
    <w:p w14:paraId="3F7BCEEF" w14:textId="77777777" w:rsidR="00A81B57" w:rsidRDefault="00A81B57" w:rsidP="00A81B57">
      <w:pPr>
        <w:rPr>
          <w:sz w:val="24"/>
          <w:szCs w:val="24"/>
        </w:rPr>
      </w:pPr>
    </w:p>
    <w:p w14:paraId="0BBE6F22" w14:textId="77777777" w:rsidR="00B14A2B" w:rsidRDefault="00A21305" w:rsidP="00A81B57">
      <w:pPr>
        <w:rPr>
          <w:sz w:val="24"/>
          <w:szCs w:val="24"/>
        </w:rPr>
      </w:pPr>
      <w:r w:rsidRPr="003607B5">
        <w:rPr>
          <w:b/>
          <w:sz w:val="24"/>
          <w:szCs w:val="24"/>
        </w:rPr>
        <w:t>Arbetsförhållanden</w:t>
      </w:r>
      <w:r w:rsidR="006B3A08" w:rsidRPr="003607B5">
        <w:rPr>
          <w:b/>
          <w:sz w:val="24"/>
          <w:szCs w:val="24"/>
        </w:rPr>
        <w:br/>
      </w:r>
      <w:r w:rsidR="0052040B" w:rsidRPr="003607B5">
        <w:rPr>
          <w:sz w:val="24"/>
          <w:szCs w:val="24"/>
        </w:rPr>
        <w:t>Arbetsgivaren ska främja jämställda och jämlika arbetsförhållanden</w:t>
      </w:r>
      <w:r w:rsidR="00454557" w:rsidRPr="003607B5">
        <w:rPr>
          <w:sz w:val="24"/>
          <w:szCs w:val="24"/>
        </w:rPr>
        <w:t xml:space="preserve">, för att ingen ska </w:t>
      </w:r>
    </w:p>
    <w:p w14:paraId="23BA29B2" w14:textId="77777777" w:rsidR="00B14A2B" w:rsidRDefault="00B14A2B" w:rsidP="00A81B57">
      <w:pPr>
        <w:rPr>
          <w:sz w:val="24"/>
          <w:szCs w:val="24"/>
        </w:rPr>
      </w:pPr>
    </w:p>
    <w:p w14:paraId="37DE49F0" w14:textId="77777777" w:rsidR="00A81B57" w:rsidRPr="003607B5" w:rsidRDefault="00454557" w:rsidP="00A81B57">
      <w:pPr>
        <w:rPr>
          <w:sz w:val="24"/>
          <w:szCs w:val="24"/>
        </w:rPr>
      </w:pPr>
      <w:r w:rsidRPr="003607B5">
        <w:rPr>
          <w:sz w:val="24"/>
          <w:szCs w:val="24"/>
        </w:rPr>
        <w:t>missgynnas av arbetskli</w:t>
      </w:r>
      <w:r w:rsidR="00D04C3C" w:rsidRPr="003607B5">
        <w:rPr>
          <w:sz w:val="24"/>
          <w:szCs w:val="24"/>
        </w:rPr>
        <w:t>matet eller anställningsformen</w:t>
      </w:r>
      <w:r w:rsidRPr="003607B5">
        <w:rPr>
          <w:sz w:val="24"/>
          <w:szCs w:val="24"/>
        </w:rPr>
        <w:t xml:space="preserve">. Det är viktigt att </w:t>
      </w:r>
      <w:r w:rsidR="00D04C3C" w:rsidRPr="003607B5">
        <w:rPr>
          <w:sz w:val="24"/>
          <w:szCs w:val="24"/>
        </w:rPr>
        <w:t>undersökningen och analysen</w:t>
      </w:r>
      <w:r w:rsidRPr="003607B5">
        <w:rPr>
          <w:sz w:val="24"/>
          <w:szCs w:val="24"/>
        </w:rPr>
        <w:t xml:space="preserve"> görs av </w:t>
      </w:r>
      <w:r w:rsidR="00D04C3C" w:rsidRPr="003607B5">
        <w:rPr>
          <w:sz w:val="24"/>
          <w:szCs w:val="24"/>
        </w:rPr>
        <w:t xml:space="preserve">både </w:t>
      </w:r>
      <w:r w:rsidRPr="003607B5">
        <w:rPr>
          <w:sz w:val="24"/>
          <w:szCs w:val="24"/>
        </w:rPr>
        <w:t>fysiska och psykiska anställningsförhållanden.</w:t>
      </w:r>
      <w:bookmarkEnd w:id="2"/>
      <w:bookmarkEnd w:id="3"/>
      <w:r w:rsidRPr="003607B5">
        <w:rPr>
          <w:sz w:val="24"/>
          <w:szCs w:val="24"/>
        </w:rPr>
        <w:t xml:space="preserve">  </w:t>
      </w:r>
      <w:bookmarkStart w:id="4" w:name="_Toc515277543"/>
      <w:bookmarkStart w:id="5" w:name="_Toc515279614"/>
    </w:p>
    <w:p w14:paraId="65C73F79" w14:textId="77777777" w:rsidR="00A81B57" w:rsidRPr="003607B5" w:rsidRDefault="00A81B57" w:rsidP="00A81B57">
      <w:pPr>
        <w:rPr>
          <w:sz w:val="24"/>
          <w:szCs w:val="24"/>
        </w:rPr>
      </w:pPr>
    </w:p>
    <w:p w14:paraId="27DAE325" w14:textId="77777777" w:rsidR="00A81B57" w:rsidRPr="003607B5" w:rsidRDefault="0052040B" w:rsidP="00A81B57">
      <w:pPr>
        <w:rPr>
          <w:sz w:val="24"/>
          <w:szCs w:val="24"/>
        </w:rPr>
      </w:pPr>
      <w:r w:rsidRPr="003607B5">
        <w:rPr>
          <w:b/>
          <w:sz w:val="24"/>
          <w:szCs w:val="24"/>
        </w:rPr>
        <w:t>Löner och andra anställningsvillkor</w:t>
      </w:r>
      <w:r w:rsidR="006B3A08" w:rsidRPr="003607B5">
        <w:rPr>
          <w:sz w:val="24"/>
          <w:szCs w:val="24"/>
        </w:rPr>
        <w:br/>
      </w:r>
      <w:r w:rsidR="00184245" w:rsidRPr="003607B5">
        <w:rPr>
          <w:sz w:val="24"/>
          <w:szCs w:val="24"/>
        </w:rPr>
        <w:t>Arbetsgivarens förhållningssätt inom löner och andra anställningsvillkor ska inte vara diskriminerande och ska främja lika rättigheter och möjligheter.</w:t>
      </w:r>
      <w:r w:rsidR="00B911AB" w:rsidRPr="003607B5">
        <w:rPr>
          <w:sz w:val="24"/>
          <w:szCs w:val="24"/>
        </w:rPr>
        <w:t xml:space="preserve"> Undersökningar</w:t>
      </w:r>
      <w:r w:rsidR="001B5F47" w:rsidRPr="003607B5">
        <w:rPr>
          <w:sz w:val="24"/>
          <w:szCs w:val="24"/>
        </w:rPr>
        <w:t xml:space="preserve"> ska göras på en övergripande nivå och arbetet ska ske utifrån alla diskrimineringsgrun</w:t>
      </w:r>
      <w:r w:rsidR="00B911AB" w:rsidRPr="003607B5">
        <w:rPr>
          <w:sz w:val="24"/>
          <w:szCs w:val="24"/>
        </w:rPr>
        <w:t xml:space="preserve">der, </w:t>
      </w:r>
      <w:r w:rsidR="00184245" w:rsidRPr="003607B5">
        <w:rPr>
          <w:sz w:val="24"/>
          <w:szCs w:val="24"/>
        </w:rPr>
        <w:t xml:space="preserve">förutom vid </w:t>
      </w:r>
      <w:r w:rsidR="001B5F47" w:rsidRPr="003607B5">
        <w:rPr>
          <w:sz w:val="24"/>
          <w:szCs w:val="24"/>
        </w:rPr>
        <w:t xml:space="preserve">den årliga lönekartläggningen som endast </w:t>
      </w:r>
      <w:r w:rsidR="00184245" w:rsidRPr="003607B5">
        <w:rPr>
          <w:sz w:val="24"/>
          <w:szCs w:val="24"/>
        </w:rPr>
        <w:t>gör</w:t>
      </w:r>
      <w:r w:rsidR="001B5F47" w:rsidRPr="003607B5">
        <w:rPr>
          <w:sz w:val="24"/>
          <w:szCs w:val="24"/>
        </w:rPr>
        <w:t>s utifrån kön.</w:t>
      </w:r>
      <w:bookmarkEnd w:id="4"/>
      <w:bookmarkEnd w:id="5"/>
    </w:p>
    <w:p w14:paraId="1348C249" w14:textId="77777777" w:rsidR="00A81B57" w:rsidRPr="003607B5" w:rsidRDefault="00A81B57" w:rsidP="00A81B57">
      <w:pPr>
        <w:rPr>
          <w:sz w:val="24"/>
          <w:szCs w:val="24"/>
        </w:rPr>
      </w:pPr>
    </w:p>
    <w:p w14:paraId="695214B4" w14:textId="77777777" w:rsidR="00A81B57" w:rsidRPr="003607B5" w:rsidRDefault="001B5F47" w:rsidP="00A81B57">
      <w:pPr>
        <w:rPr>
          <w:b/>
          <w:sz w:val="24"/>
          <w:szCs w:val="24"/>
        </w:rPr>
      </w:pPr>
      <w:r w:rsidRPr="003607B5">
        <w:rPr>
          <w:b/>
          <w:sz w:val="24"/>
          <w:szCs w:val="24"/>
        </w:rPr>
        <w:t>Rekrytering och befordran</w:t>
      </w:r>
    </w:p>
    <w:p w14:paraId="0CF12159" w14:textId="77777777" w:rsidR="00A81B57" w:rsidRPr="003607B5" w:rsidRDefault="00834CA0" w:rsidP="00A81B57">
      <w:pPr>
        <w:rPr>
          <w:sz w:val="24"/>
          <w:szCs w:val="24"/>
        </w:rPr>
      </w:pPr>
      <w:r w:rsidRPr="003607B5">
        <w:rPr>
          <w:sz w:val="24"/>
          <w:szCs w:val="24"/>
        </w:rPr>
        <w:t>Att arbeta med aktiva åtgärder inom rekrytering och befordran innebär att arbetsg</w:t>
      </w:r>
      <w:r w:rsidR="00156E7B" w:rsidRPr="003607B5">
        <w:rPr>
          <w:sz w:val="24"/>
          <w:szCs w:val="24"/>
        </w:rPr>
        <w:t>ivaren ska verka för att alla ges</w:t>
      </w:r>
      <w:r w:rsidRPr="003607B5">
        <w:rPr>
          <w:sz w:val="24"/>
          <w:szCs w:val="24"/>
        </w:rPr>
        <w:t xml:space="preserve"> möjlighet att söka lediga jobb, samt få möjlighet till befordran. </w:t>
      </w:r>
    </w:p>
    <w:p w14:paraId="199912A6" w14:textId="77777777" w:rsidR="00A81B57" w:rsidRPr="003607B5" w:rsidRDefault="00A81B57" w:rsidP="00A81B57">
      <w:pPr>
        <w:rPr>
          <w:sz w:val="24"/>
          <w:szCs w:val="24"/>
        </w:rPr>
      </w:pPr>
    </w:p>
    <w:p w14:paraId="206D3071" w14:textId="77777777" w:rsidR="00A81B57" w:rsidRPr="003607B5" w:rsidRDefault="00E05220" w:rsidP="00A81B57">
      <w:pPr>
        <w:rPr>
          <w:b/>
          <w:sz w:val="24"/>
          <w:szCs w:val="24"/>
        </w:rPr>
      </w:pPr>
      <w:r w:rsidRPr="003607B5">
        <w:rPr>
          <w:b/>
          <w:sz w:val="24"/>
          <w:szCs w:val="24"/>
        </w:rPr>
        <w:t>Utbildning och övrig kompetensutveckling</w:t>
      </w:r>
    </w:p>
    <w:p w14:paraId="17E81321" w14:textId="77777777" w:rsidR="00A81B57" w:rsidRPr="003607B5" w:rsidRDefault="00E05220" w:rsidP="00A81B57">
      <w:pPr>
        <w:rPr>
          <w:sz w:val="24"/>
          <w:szCs w:val="24"/>
        </w:rPr>
      </w:pPr>
      <w:r w:rsidRPr="003607B5">
        <w:rPr>
          <w:sz w:val="24"/>
          <w:szCs w:val="24"/>
        </w:rPr>
        <w:t xml:space="preserve">Arbetsgivaren </w:t>
      </w:r>
      <w:r w:rsidR="00621B7C" w:rsidRPr="003607B5">
        <w:rPr>
          <w:sz w:val="24"/>
          <w:szCs w:val="24"/>
        </w:rPr>
        <w:t>ska</w:t>
      </w:r>
      <w:r w:rsidRPr="003607B5">
        <w:rPr>
          <w:sz w:val="24"/>
          <w:szCs w:val="24"/>
        </w:rPr>
        <w:t xml:space="preserve"> se till att insatser för kompetensutveckling och kunskapsöverföring kommer alla anställda till del på ett likvärdigt sätt</w:t>
      </w:r>
      <w:r w:rsidR="00B911AB" w:rsidRPr="003607B5">
        <w:rPr>
          <w:sz w:val="24"/>
          <w:szCs w:val="24"/>
        </w:rPr>
        <w:t>.</w:t>
      </w:r>
    </w:p>
    <w:p w14:paraId="3D3295AE" w14:textId="77777777" w:rsidR="00A81B57" w:rsidRPr="003607B5" w:rsidRDefault="00A81B57" w:rsidP="00A81B57">
      <w:pPr>
        <w:rPr>
          <w:sz w:val="24"/>
          <w:szCs w:val="24"/>
        </w:rPr>
      </w:pPr>
    </w:p>
    <w:p w14:paraId="58A512FE" w14:textId="77777777" w:rsidR="00A81B57" w:rsidRPr="003607B5" w:rsidRDefault="00A81B57" w:rsidP="00A81B57">
      <w:pPr>
        <w:rPr>
          <w:b/>
          <w:sz w:val="24"/>
          <w:szCs w:val="24"/>
        </w:rPr>
      </w:pPr>
      <w:r w:rsidRPr="003607B5">
        <w:rPr>
          <w:b/>
          <w:sz w:val="24"/>
          <w:szCs w:val="24"/>
        </w:rPr>
        <w:t xml:space="preserve">Möjlighet </w:t>
      </w:r>
      <w:r w:rsidR="00A21305" w:rsidRPr="003607B5">
        <w:rPr>
          <w:b/>
          <w:sz w:val="24"/>
          <w:szCs w:val="24"/>
        </w:rPr>
        <w:t>att förena förvärvsarbete med föräldraskap</w:t>
      </w:r>
    </w:p>
    <w:p w14:paraId="4FD691DC" w14:textId="77777777" w:rsidR="00E05220" w:rsidRDefault="00AB4097" w:rsidP="00A81B57">
      <w:pPr>
        <w:rPr>
          <w:sz w:val="24"/>
          <w:szCs w:val="24"/>
        </w:rPr>
      </w:pPr>
      <w:r w:rsidRPr="003607B5">
        <w:rPr>
          <w:sz w:val="24"/>
          <w:szCs w:val="24"/>
        </w:rPr>
        <w:t xml:space="preserve">I arbetet med att underlätta </w:t>
      </w:r>
      <w:r w:rsidR="00B911AB" w:rsidRPr="003607B5">
        <w:rPr>
          <w:sz w:val="24"/>
          <w:szCs w:val="24"/>
        </w:rPr>
        <w:t xml:space="preserve">för medarbetare </w:t>
      </w:r>
      <w:r w:rsidRPr="003607B5">
        <w:rPr>
          <w:sz w:val="24"/>
          <w:szCs w:val="24"/>
        </w:rPr>
        <w:t>att förena förvärvsarbete med föräldraskap</w:t>
      </w:r>
      <w:r w:rsidR="00B911AB" w:rsidRPr="003607B5">
        <w:rPr>
          <w:sz w:val="24"/>
          <w:szCs w:val="24"/>
        </w:rPr>
        <w:t>,</w:t>
      </w:r>
      <w:r w:rsidRPr="003607B5">
        <w:rPr>
          <w:sz w:val="24"/>
          <w:szCs w:val="24"/>
        </w:rPr>
        <w:t xml:space="preserve"> </w:t>
      </w:r>
      <w:r w:rsidR="00621B7C" w:rsidRPr="003607B5">
        <w:rPr>
          <w:sz w:val="24"/>
          <w:szCs w:val="24"/>
        </w:rPr>
        <w:t>ska</w:t>
      </w:r>
      <w:r w:rsidRPr="003607B5">
        <w:rPr>
          <w:sz w:val="24"/>
          <w:szCs w:val="24"/>
        </w:rPr>
        <w:t xml:space="preserve"> arbetsgivare</w:t>
      </w:r>
      <w:r w:rsidR="00B911AB" w:rsidRPr="003607B5">
        <w:rPr>
          <w:sz w:val="24"/>
          <w:szCs w:val="24"/>
        </w:rPr>
        <w:t>n</w:t>
      </w:r>
      <w:r w:rsidRPr="003607B5">
        <w:rPr>
          <w:sz w:val="24"/>
          <w:szCs w:val="24"/>
        </w:rPr>
        <w:t xml:space="preserve"> uppmärksamma </w:t>
      </w:r>
      <w:r w:rsidR="00B911AB" w:rsidRPr="003607B5">
        <w:rPr>
          <w:sz w:val="24"/>
          <w:szCs w:val="24"/>
        </w:rPr>
        <w:t>om det finns behov av åt</w:t>
      </w:r>
      <w:r w:rsidR="00621B7C" w:rsidRPr="003607B5">
        <w:rPr>
          <w:sz w:val="24"/>
          <w:szCs w:val="24"/>
        </w:rPr>
        <w:t>gärder.</w:t>
      </w:r>
      <w:r w:rsidRPr="003607B5">
        <w:rPr>
          <w:sz w:val="24"/>
          <w:szCs w:val="24"/>
        </w:rPr>
        <w:t xml:space="preserve"> Det kan till exempel handla</w:t>
      </w:r>
      <w:r w:rsidR="00621B7C" w:rsidRPr="003607B5">
        <w:rPr>
          <w:sz w:val="24"/>
          <w:szCs w:val="24"/>
        </w:rPr>
        <w:t xml:space="preserve"> om att begränsa övertid, </w:t>
      </w:r>
      <w:r w:rsidRPr="003607B5">
        <w:rPr>
          <w:sz w:val="24"/>
          <w:szCs w:val="24"/>
        </w:rPr>
        <w:t>arbete på obekväm arbetstid eller att införa flextid</w:t>
      </w:r>
      <w:r w:rsidR="00B911AB" w:rsidRPr="003607B5">
        <w:rPr>
          <w:sz w:val="24"/>
          <w:szCs w:val="24"/>
        </w:rPr>
        <w:t xml:space="preserve"> alternativt </w:t>
      </w:r>
      <w:r w:rsidR="00621B7C" w:rsidRPr="003607B5">
        <w:rPr>
          <w:sz w:val="24"/>
          <w:szCs w:val="24"/>
        </w:rPr>
        <w:t>årsarbetstid</w:t>
      </w:r>
      <w:r w:rsidRPr="003607B5">
        <w:rPr>
          <w:sz w:val="24"/>
          <w:szCs w:val="24"/>
        </w:rPr>
        <w:t xml:space="preserve">. </w:t>
      </w:r>
    </w:p>
    <w:p w14:paraId="75A67ADD" w14:textId="77777777" w:rsidR="00DB1B1D" w:rsidRPr="003607B5" w:rsidRDefault="00DB1B1D" w:rsidP="00A81B57">
      <w:pPr>
        <w:rPr>
          <w:sz w:val="24"/>
          <w:szCs w:val="24"/>
        </w:rPr>
      </w:pPr>
    </w:p>
    <w:p w14:paraId="0EC4573D" w14:textId="77777777" w:rsidR="003B62F5" w:rsidRDefault="003B62F5" w:rsidP="003B62F5">
      <w:pPr>
        <w:pStyle w:val="Rubrik2"/>
        <w:numPr>
          <w:ilvl w:val="1"/>
          <w:numId w:val="22"/>
        </w:numPr>
      </w:pPr>
      <w:r>
        <w:t xml:space="preserve"> </w:t>
      </w:r>
      <w:bookmarkStart w:id="6" w:name="_Toc517271931"/>
      <w:r w:rsidR="00621B7C">
        <w:t>Vad är diskriminering?</w:t>
      </w:r>
      <w:bookmarkEnd w:id="6"/>
    </w:p>
    <w:p w14:paraId="1D5388D1" w14:textId="77777777" w:rsidR="003B62F5" w:rsidRDefault="00621B7C" w:rsidP="003B62F5">
      <w:pPr>
        <w:pStyle w:val="Rubrik2"/>
        <w:rPr>
          <w:b w:val="0"/>
          <w:sz w:val="24"/>
          <w:szCs w:val="24"/>
        </w:rPr>
      </w:pPr>
      <w:bookmarkStart w:id="7" w:name="_Toc515349533"/>
      <w:bookmarkStart w:id="8" w:name="_Toc515350561"/>
      <w:bookmarkStart w:id="9" w:name="_Toc515352340"/>
      <w:bookmarkStart w:id="10" w:name="_Toc515352477"/>
      <w:bookmarkStart w:id="11" w:name="_Toc516658316"/>
      <w:bookmarkStart w:id="12" w:name="_Toc517270326"/>
      <w:bookmarkStart w:id="13" w:name="_Toc517271932"/>
      <w:r w:rsidRPr="003B62F5">
        <w:rPr>
          <w:b w:val="0"/>
          <w:sz w:val="24"/>
          <w:szCs w:val="24"/>
        </w:rPr>
        <w:t xml:space="preserve">Diskriminering </w:t>
      </w:r>
      <w:r w:rsidR="00DB1B1D">
        <w:rPr>
          <w:b w:val="0"/>
          <w:sz w:val="24"/>
          <w:szCs w:val="24"/>
        </w:rPr>
        <w:t>är ett samlingsbegrepp och ska</w:t>
      </w:r>
      <w:r w:rsidRPr="003B62F5">
        <w:rPr>
          <w:b w:val="0"/>
          <w:sz w:val="24"/>
          <w:szCs w:val="24"/>
        </w:rPr>
        <w:t xml:space="preserve"> alltid ha </w:t>
      </w:r>
      <w:r w:rsidR="00DB1B1D">
        <w:rPr>
          <w:b w:val="0"/>
          <w:sz w:val="24"/>
          <w:szCs w:val="24"/>
        </w:rPr>
        <w:t xml:space="preserve">en koppling till någon av </w:t>
      </w:r>
      <w:r w:rsidRPr="003B62F5">
        <w:rPr>
          <w:b w:val="0"/>
          <w:sz w:val="24"/>
          <w:szCs w:val="24"/>
        </w:rPr>
        <w:t>diskrimineringsgrunderna. Diskriminering handlar om hur personen uppfattar</w:t>
      </w:r>
      <w:r w:rsidR="00B911AB" w:rsidRPr="003B62F5">
        <w:rPr>
          <w:b w:val="0"/>
          <w:sz w:val="24"/>
          <w:szCs w:val="24"/>
        </w:rPr>
        <w:t xml:space="preserve"> situationen och kan ske på </w:t>
      </w:r>
      <w:r w:rsidRPr="003B62F5">
        <w:rPr>
          <w:b w:val="0"/>
          <w:sz w:val="24"/>
          <w:szCs w:val="24"/>
        </w:rPr>
        <w:t xml:space="preserve">olika sätt. Arbetsgivaren ska arbeta </w:t>
      </w:r>
      <w:r w:rsidR="00B911AB" w:rsidRPr="003B62F5">
        <w:rPr>
          <w:b w:val="0"/>
          <w:sz w:val="24"/>
          <w:szCs w:val="24"/>
        </w:rPr>
        <w:t xml:space="preserve">med </w:t>
      </w:r>
      <w:r w:rsidRPr="003B62F5">
        <w:rPr>
          <w:b w:val="0"/>
          <w:sz w:val="24"/>
          <w:szCs w:val="24"/>
        </w:rPr>
        <w:t>aktiva åtgärder för att motverka all form av diskriminering.</w:t>
      </w:r>
      <w:bookmarkEnd w:id="7"/>
      <w:bookmarkEnd w:id="8"/>
      <w:bookmarkEnd w:id="9"/>
      <w:bookmarkEnd w:id="10"/>
      <w:bookmarkEnd w:id="11"/>
      <w:bookmarkEnd w:id="12"/>
      <w:bookmarkEnd w:id="13"/>
    </w:p>
    <w:p w14:paraId="28B4829C" w14:textId="77777777" w:rsidR="003B62F5" w:rsidRDefault="00A21305" w:rsidP="003B62F5">
      <w:pPr>
        <w:pStyle w:val="Rubrik2"/>
        <w:rPr>
          <w:b w:val="0"/>
          <w:sz w:val="24"/>
          <w:szCs w:val="24"/>
        </w:rPr>
      </w:pPr>
      <w:bookmarkStart w:id="14" w:name="_Toc515349534"/>
      <w:bookmarkStart w:id="15" w:name="_Toc515350562"/>
      <w:bookmarkStart w:id="16" w:name="_Toc515352341"/>
      <w:bookmarkStart w:id="17" w:name="_Toc515352478"/>
      <w:bookmarkStart w:id="18" w:name="_Toc516658317"/>
      <w:bookmarkStart w:id="19" w:name="_Toc517270327"/>
      <w:bookmarkStart w:id="20" w:name="_Toc517271933"/>
      <w:r w:rsidRPr="003B62F5">
        <w:rPr>
          <w:sz w:val="24"/>
          <w:szCs w:val="24"/>
        </w:rPr>
        <w:t>Direkt diskriminering</w:t>
      </w:r>
      <w:r w:rsidR="003B62F5">
        <w:rPr>
          <w:sz w:val="24"/>
          <w:szCs w:val="24"/>
        </w:rPr>
        <w:br/>
      </w:r>
      <w:r w:rsidR="006B3A08" w:rsidRPr="003B62F5">
        <w:rPr>
          <w:b w:val="0"/>
          <w:sz w:val="24"/>
          <w:szCs w:val="24"/>
        </w:rPr>
        <w:t>N</w:t>
      </w:r>
      <w:r w:rsidR="00EF330D" w:rsidRPr="003B62F5">
        <w:rPr>
          <w:b w:val="0"/>
          <w:sz w:val="24"/>
          <w:szCs w:val="24"/>
        </w:rPr>
        <w:t>är någon missgynnas genom att behandlas sämre än någon annan i en jämförbar situation.</w:t>
      </w:r>
      <w:bookmarkEnd w:id="14"/>
      <w:bookmarkEnd w:id="15"/>
      <w:bookmarkEnd w:id="16"/>
      <w:bookmarkEnd w:id="17"/>
      <w:bookmarkEnd w:id="18"/>
      <w:bookmarkEnd w:id="19"/>
      <w:bookmarkEnd w:id="20"/>
    </w:p>
    <w:p w14:paraId="3003557E" w14:textId="77777777" w:rsidR="003B62F5" w:rsidRDefault="00A21305" w:rsidP="003B62F5">
      <w:pPr>
        <w:pStyle w:val="Rubrik2"/>
        <w:rPr>
          <w:sz w:val="24"/>
          <w:szCs w:val="24"/>
        </w:rPr>
      </w:pPr>
      <w:bookmarkStart w:id="21" w:name="_Toc515349535"/>
      <w:bookmarkStart w:id="22" w:name="_Toc515350563"/>
      <w:bookmarkStart w:id="23" w:name="_Toc515352342"/>
      <w:bookmarkStart w:id="24" w:name="_Toc515352479"/>
      <w:bookmarkStart w:id="25" w:name="_Toc516658318"/>
      <w:bookmarkStart w:id="26" w:name="_Toc517270328"/>
      <w:bookmarkStart w:id="27" w:name="_Toc517271934"/>
      <w:r w:rsidRPr="003B62F5">
        <w:rPr>
          <w:sz w:val="24"/>
          <w:szCs w:val="24"/>
        </w:rPr>
        <w:t>Indirekt diskriminering</w:t>
      </w:r>
      <w:r w:rsidR="003B62F5">
        <w:rPr>
          <w:sz w:val="24"/>
          <w:szCs w:val="24"/>
        </w:rPr>
        <w:br/>
      </w:r>
      <w:r w:rsidR="00B911AB" w:rsidRPr="003B62F5">
        <w:rPr>
          <w:b w:val="0"/>
          <w:sz w:val="24"/>
          <w:szCs w:val="24"/>
        </w:rPr>
        <w:t>När</w:t>
      </w:r>
      <w:r w:rsidR="00EF330D" w:rsidRPr="003B62F5">
        <w:rPr>
          <w:b w:val="0"/>
          <w:sz w:val="24"/>
          <w:szCs w:val="24"/>
        </w:rPr>
        <w:t xml:space="preserve"> det</w:t>
      </w:r>
      <w:r w:rsidR="00AE0400" w:rsidRPr="003B62F5">
        <w:rPr>
          <w:b w:val="0"/>
          <w:sz w:val="24"/>
          <w:szCs w:val="24"/>
        </w:rPr>
        <w:t xml:space="preserve"> finns en regel eller</w:t>
      </w:r>
      <w:r w:rsidR="00EF330D" w:rsidRPr="003B62F5">
        <w:rPr>
          <w:b w:val="0"/>
          <w:sz w:val="24"/>
          <w:szCs w:val="24"/>
        </w:rPr>
        <w:t xml:space="preserve"> rutin som </w:t>
      </w:r>
      <w:r w:rsidR="006B3A08" w:rsidRPr="003B62F5">
        <w:rPr>
          <w:b w:val="0"/>
          <w:sz w:val="24"/>
          <w:szCs w:val="24"/>
        </w:rPr>
        <w:t>uppfattas som</w:t>
      </w:r>
      <w:r w:rsidR="00EF330D" w:rsidRPr="003B62F5">
        <w:rPr>
          <w:b w:val="0"/>
          <w:sz w:val="24"/>
          <w:szCs w:val="24"/>
        </w:rPr>
        <w:t xml:space="preserve"> neutral men </w:t>
      </w:r>
      <w:r w:rsidR="00307451" w:rsidRPr="00231DBE">
        <w:rPr>
          <w:b w:val="0"/>
          <w:sz w:val="24"/>
          <w:szCs w:val="24"/>
        </w:rPr>
        <w:t>särskilt</w:t>
      </w:r>
      <w:r w:rsidR="00307451">
        <w:rPr>
          <w:b w:val="0"/>
          <w:sz w:val="24"/>
          <w:szCs w:val="24"/>
        </w:rPr>
        <w:t xml:space="preserve"> </w:t>
      </w:r>
      <w:r w:rsidR="00EF330D" w:rsidRPr="003B62F5">
        <w:rPr>
          <w:b w:val="0"/>
          <w:sz w:val="24"/>
          <w:szCs w:val="24"/>
        </w:rPr>
        <w:t>missgynnar personer utifrån diskrimineringsgrunderna.</w:t>
      </w:r>
      <w:bookmarkEnd w:id="21"/>
      <w:bookmarkEnd w:id="22"/>
      <w:bookmarkEnd w:id="23"/>
      <w:bookmarkEnd w:id="24"/>
      <w:bookmarkEnd w:id="25"/>
      <w:bookmarkEnd w:id="26"/>
      <w:bookmarkEnd w:id="27"/>
      <w:r w:rsidR="001B7F04" w:rsidRPr="003B62F5">
        <w:rPr>
          <w:sz w:val="24"/>
          <w:szCs w:val="24"/>
        </w:rPr>
        <w:t xml:space="preserve"> </w:t>
      </w:r>
    </w:p>
    <w:p w14:paraId="0AF38CCE" w14:textId="77777777" w:rsidR="003B62F5" w:rsidRDefault="00A21305" w:rsidP="003B62F5">
      <w:pPr>
        <w:pStyle w:val="Rubrik2"/>
        <w:rPr>
          <w:sz w:val="24"/>
          <w:szCs w:val="24"/>
        </w:rPr>
      </w:pPr>
      <w:bookmarkStart w:id="28" w:name="_Toc515349536"/>
      <w:bookmarkStart w:id="29" w:name="_Toc515350564"/>
      <w:bookmarkStart w:id="30" w:name="_Toc515352343"/>
      <w:bookmarkStart w:id="31" w:name="_Toc515352480"/>
      <w:bookmarkStart w:id="32" w:name="_Toc516658319"/>
      <w:bookmarkStart w:id="33" w:name="_Toc517270329"/>
      <w:bookmarkStart w:id="34" w:name="_Toc517271935"/>
      <w:r w:rsidRPr="003B62F5">
        <w:rPr>
          <w:sz w:val="24"/>
          <w:szCs w:val="24"/>
        </w:rPr>
        <w:t>Bristande tillgänglighet</w:t>
      </w:r>
      <w:r w:rsidR="003B62F5">
        <w:rPr>
          <w:sz w:val="24"/>
          <w:szCs w:val="24"/>
        </w:rPr>
        <w:br/>
      </w:r>
      <w:r w:rsidR="00B911AB" w:rsidRPr="003B62F5">
        <w:rPr>
          <w:b w:val="0"/>
          <w:sz w:val="24"/>
          <w:szCs w:val="24"/>
        </w:rPr>
        <w:t>När en per</w:t>
      </w:r>
      <w:r w:rsidR="00815997" w:rsidRPr="003B62F5">
        <w:rPr>
          <w:b w:val="0"/>
          <w:sz w:val="24"/>
          <w:szCs w:val="24"/>
        </w:rPr>
        <w:t>son med en funktionsnedsättning missgynnas genom att en verksamhet inte vidtar skäliga tillgänglighetsåtgärder för att den personen ska komma i en jämförbar situation med personer utan denna funktionsnedsättning.</w:t>
      </w:r>
      <w:bookmarkEnd w:id="28"/>
      <w:bookmarkEnd w:id="29"/>
      <w:bookmarkEnd w:id="30"/>
      <w:bookmarkEnd w:id="31"/>
      <w:bookmarkEnd w:id="32"/>
      <w:bookmarkEnd w:id="33"/>
      <w:bookmarkEnd w:id="34"/>
    </w:p>
    <w:p w14:paraId="3C6D7FFF" w14:textId="77777777" w:rsidR="003B62F5" w:rsidRDefault="00B911AB" w:rsidP="003B62F5">
      <w:pPr>
        <w:pStyle w:val="Rubrik2"/>
        <w:rPr>
          <w:sz w:val="24"/>
          <w:szCs w:val="24"/>
        </w:rPr>
      </w:pPr>
      <w:bookmarkStart w:id="35" w:name="_Toc515349537"/>
      <w:bookmarkStart w:id="36" w:name="_Toc515350565"/>
      <w:bookmarkStart w:id="37" w:name="_Toc515352344"/>
      <w:bookmarkStart w:id="38" w:name="_Toc515352481"/>
      <w:bookmarkStart w:id="39" w:name="_Toc516658320"/>
      <w:bookmarkStart w:id="40" w:name="_Toc517270330"/>
      <w:bookmarkStart w:id="41" w:name="_Toc517271936"/>
      <w:r w:rsidRPr="003B62F5">
        <w:rPr>
          <w:sz w:val="24"/>
          <w:szCs w:val="24"/>
        </w:rPr>
        <w:t>Trakasserier</w:t>
      </w:r>
      <w:r w:rsidR="003B62F5">
        <w:rPr>
          <w:sz w:val="24"/>
          <w:szCs w:val="24"/>
        </w:rPr>
        <w:br/>
      </w:r>
      <w:r w:rsidRPr="003B62F5">
        <w:rPr>
          <w:b w:val="0"/>
          <w:sz w:val="24"/>
          <w:szCs w:val="24"/>
        </w:rPr>
        <w:t>E</w:t>
      </w:r>
      <w:r w:rsidR="00646BFC" w:rsidRPr="003B62F5">
        <w:rPr>
          <w:b w:val="0"/>
          <w:sz w:val="24"/>
          <w:szCs w:val="24"/>
        </w:rPr>
        <w:t>tt agerande som kränker någons värdighet och har s</w:t>
      </w:r>
      <w:r w:rsidR="00AE0400" w:rsidRPr="003B62F5">
        <w:rPr>
          <w:b w:val="0"/>
          <w:sz w:val="24"/>
          <w:szCs w:val="24"/>
        </w:rPr>
        <w:t xml:space="preserve">amband med </w:t>
      </w:r>
      <w:r w:rsidR="00646BFC" w:rsidRPr="003B62F5">
        <w:rPr>
          <w:b w:val="0"/>
          <w:sz w:val="24"/>
          <w:szCs w:val="24"/>
        </w:rPr>
        <w:t>diskrimineringsgrunderna.</w:t>
      </w:r>
      <w:bookmarkEnd w:id="35"/>
      <w:bookmarkEnd w:id="36"/>
      <w:bookmarkEnd w:id="37"/>
      <w:bookmarkEnd w:id="38"/>
      <w:bookmarkEnd w:id="39"/>
      <w:bookmarkEnd w:id="40"/>
      <w:bookmarkEnd w:id="41"/>
    </w:p>
    <w:p w14:paraId="4FD42636" w14:textId="77777777" w:rsidR="00B14A2B" w:rsidRDefault="00B14A2B" w:rsidP="003B62F5">
      <w:pPr>
        <w:pStyle w:val="Rubrik2"/>
        <w:rPr>
          <w:sz w:val="24"/>
          <w:szCs w:val="24"/>
        </w:rPr>
      </w:pPr>
      <w:bookmarkStart w:id="42" w:name="_Toc515349538"/>
      <w:bookmarkStart w:id="43" w:name="_Toc515350566"/>
      <w:bookmarkStart w:id="44" w:name="_Toc515352345"/>
      <w:bookmarkStart w:id="45" w:name="_Toc515352482"/>
      <w:bookmarkStart w:id="46" w:name="_Toc516658321"/>
      <w:bookmarkStart w:id="47" w:name="_Toc517270331"/>
      <w:bookmarkStart w:id="48" w:name="_Toc517271937"/>
    </w:p>
    <w:p w14:paraId="18CAD7E3" w14:textId="77777777" w:rsidR="00B14A2B" w:rsidRDefault="00B14A2B" w:rsidP="003B62F5">
      <w:pPr>
        <w:pStyle w:val="Rubrik2"/>
        <w:rPr>
          <w:sz w:val="24"/>
          <w:szCs w:val="24"/>
        </w:rPr>
      </w:pPr>
    </w:p>
    <w:p w14:paraId="38C8D304" w14:textId="77777777" w:rsidR="003B62F5" w:rsidRDefault="00A21305" w:rsidP="003B62F5">
      <w:pPr>
        <w:pStyle w:val="Rubrik2"/>
        <w:rPr>
          <w:sz w:val="24"/>
          <w:szCs w:val="24"/>
        </w:rPr>
      </w:pPr>
      <w:r w:rsidRPr="003B62F5">
        <w:rPr>
          <w:sz w:val="24"/>
          <w:szCs w:val="24"/>
        </w:rPr>
        <w:t>Sexuella trakasserier</w:t>
      </w:r>
      <w:r w:rsidR="003B62F5">
        <w:rPr>
          <w:sz w:val="24"/>
          <w:szCs w:val="24"/>
        </w:rPr>
        <w:br/>
      </w:r>
      <w:proofErr w:type="spellStart"/>
      <w:r w:rsidR="00F422FB" w:rsidRPr="003B62F5">
        <w:rPr>
          <w:b w:val="0"/>
          <w:sz w:val="24"/>
          <w:szCs w:val="24"/>
        </w:rPr>
        <w:t>T</w:t>
      </w:r>
      <w:r w:rsidR="00F23F06" w:rsidRPr="003B62F5">
        <w:rPr>
          <w:b w:val="0"/>
          <w:sz w:val="24"/>
          <w:szCs w:val="24"/>
        </w:rPr>
        <w:t>rakasserier</w:t>
      </w:r>
      <w:proofErr w:type="spellEnd"/>
      <w:r w:rsidR="00F23F06" w:rsidRPr="003B62F5">
        <w:rPr>
          <w:b w:val="0"/>
          <w:sz w:val="24"/>
          <w:szCs w:val="24"/>
        </w:rPr>
        <w:t xml:space="preserve"> </w:t>
      </w:r>
      <w:r w:rsidR="006B3A08" w:rsidRPr="003B62F5">
        <w:rPr>
          <w:b w:val="0"/>
          <w:sz w:val="24"/>
          <w:szCs w:val="24"/>
        </w:rPr>
        <w:t>som är av</w:t>
      </w:r>
      <w:r w:rsidR="00F23F06" w:rsidRPr="003B62F5">
        <w:rPr>
          <w:b w:val="0"/>
          <w:sz w:val="24"/>
          <w:szCs w:val="24"/>
        </w:rPr>
        <w:t xml:space="preserve"> sexuell natur.</w:t>
      </w:r>
      <w:bookmarkEnd w:id="42"/>
      <w:bookmarkEnd w:id="43"/>
      <w:bookmarkEnd w:id="44"/>
      <w:bookmarkEnd w:id="45"/>
      <w:bookmarkEnd w:id="46"/>
      <w:bookmarkEnd w:id="47"/>
      <w:bookmarkEnd w:id="48"/>
      <w:r w:rsidR="00F23F06" w:rsidRPr="003B62F5">
        <w:rPr>
          <w:b w:val="0"/>
          <w:sz w:val="24"/>
          <w:szCs w:val="24"/>
        </w:rPr>
        <w:t xml:space="preserve"> </w:t>
      </w:r>
    </w:p>
    <w:p w14:paraId="0B541919" w14:textId="77777777" w:rsidR="00A21305" w:rsidRPr="003B62F5" w:rsidRDefault="00A21305" w:rsidP="003B62F5">
      <w:pPr>
        <w:pStyle w:val="Rubrik2"/>
        <w:rPr>
          <w:sz w:val="24"/>
          <w:szCs w:val="24"/>
        </w:rPr>
      </w:pPr>
      <w:bookmarkStart w:id="49" w:name="_Toc515349539"/>
      <w:bookmarkStart w:id="50" w:name="_Toc515350567"/>
      <w:bookmarkStart w:id="51" w:name="_Toc515352346"/>
      <w:bookmarkStart w:id="52" w:name="_Toc515352483"/>
      <w:bookmarkStart w:id="53" w:name="_Toc516658322"/>
      <w:bookmarkStart w:id="54" w:name="_Toc517270332"/>
      <w:bookmarkStart w:id="55" w:name="_Toc517271938"/>
      <w:r w:rsidRPr="003B62F5">
        <w:rPr>
          <w:sz w:val="24"/>
          <w:szCs w:val="24"/>
        </w:rPr>
        <w:t>Instruktioner att diskriminera</w:t>
      </w:r>
      <w:r w:rsidR="003B62F5">
        <w:rPr>
          <w:sz w:val="24"/>
          <w:szCs w:val="24"/>
        </w:rPr>
        <w:br/>
      </w:r>
      <w:r w:rsidR="00F422FB" w:rsidRPr="003B62F5">
        <w:rPr>
          <w:b w:val="0"/>
          <w:sz w:val="24"/>
          <w:szCs w:val="24"/>
        </w:rPr>
        <w:t>Nä</w:t>
      </w:r>
      <w:r w:rsidR="00F23F06" w:rsidRPr="003B62F5">
        <w:rPr>
          <w:b w:val="0"/>
          <w:sz w:val="24"/>
          <w:szCs w:val="24"/>
        </w:rPr>
        <w:t>r någon ger en order eller instruerar någon som är i beroendeställning, till exempel en anställd, att diskriminera någon annan.</w:t>
      </w:r>
      <w:bookmarkEnd w:id="49"/>
      <w:bookmarkEnd w:id="50"/>
      <w:bookmarkEnd w:id="51"/>
      <w:bookmarkEnd w:id="52"/>
      <w:bookmarkEnd w:id="53"/>
      <w:bookmarkEnd w:id="54"/>
      <w:bookmarkEnd w:id="55"/>
    </w:p>
    <w:p w14:paraId="345382FD" w14:textId="77777777" w:rsidR="00A22D7D" w:rsidRPr="00391703" w:rsidRDefault="00A22D7D" w:rsidP="00391703">
      <w:pPr>
        <w:rPr>
          <w:sz w:val="24"/>
          <w:szCs w:val="24"/>
        </w:rPr>
      </w:pPr>
    </w:p>
    <w:p w14:paraId="02D4F284" w14:textId="77777777" w:rsidR="00391703" w:rsidRPr="00391703" w:rsidRDefault="00391703" w:rsidP="00391703">
      <w:pPr>
        <w:rPr>
          <w:sz w:val="24"/>
          <w:szCs w:val="24"/>
        </w:rPr>
      </w:pPr>
    </w:p>
    <w:p w14:paraId="3E6853D2" w14:textId="77777777" w:rsidR="001F61EA" w:rsidRDefault="00A21305" w:rsidP="003B62F5">
      <w:pPr>
        <w:pStyle w:val="Rubrik1"/>
        <w:numPr>
          <w:ilvl w:val="0"/>
          <w:numId w:val="15"/>
        </w:numPr>
      </w:pPr>
      <w:bookmarkStart w:id="56" w:name="_Toc517271939"/>
      <w:r w:rsidRPr="00B841CE">
        <w:t>A</w:t>
      </w:r>
      <w:r w:rsidR="00391703">
        <w:t xml:space="preserve">ktiva åtgärder, </w:t>
      </w:r>
      <w:r w:rsidRPr="00B841CE">
        <w:t>ett arbete i fyra steg</w:t>
      </w:r>
      <w:r w:rsidR="00975F76">
        <w:t xml:space="preserve"> – så här </w:t>
      </w:r>
      <w:r w:rsidR="00C23B74">
        <w:t>arbetar vi</w:t>
      </w:r>
      <w:bookmarkEnd w:id="56"/>
    </w:p>
    <w:p w14:paraId="43647D07" w14:textId="77777777" w:rsidR="00A22D7D" w:rsidRPr="00A22D7D" w:rsidRDefault="00A22D7D" w:rsidP="00A22D7D"/>
    <w:p w14:paraId="011D48F1" w14:textId="77777777" w:rsidR="00A22D7D" w:rsidRDefault="00320429" w:rsidP="003B62F5">
      <w:pPr>
        <w:rPr>
          <w:sz w:val="24"/>
          <w:szCs w:val="24"/>
        </w:rPr>
      </w:pPr>
      <w:r w:rsidRPr="00B841CE">
        <w:rPr>
          <w:sz w:val="24"/>
          <w:szCs w:val="24"/>
        </w:rPr>
        <w:t xml:space="preserve">Arbetet handlar </w:t>
      </w:r>
      <w:r w:rsidR="00A22D7D" w:rsidRPr="00B841CE">
        <w:rPr>
          <w:sz w:val="24"/>
          <w:szCs w:val="24"/>
        </w:rPr>
        <w:t xml:space="preserve">om att </w:t>
      </w:r>
      <w:r w:rsidR="00A22D7D">
        <w:rPr>
          <w:sz w:val="24"/>
          <w:szCs w:val="24"/>
        </w:rPr>
        <w:t xml:space="preserve">i första hand </w:t>
      </w:r>
      <w:r w:rsidR="00A22D7D" w:rsidRPr="00B841CE">
        <w:rPr>
          <w:sz w:val="24"/>
          <w:szCs w:val="24"/>
        </w:rPr>
        <w:t>förebygga att någon diskrimineras eller på annat sätt får sämre möjligheter på arbetsplatsen</w:t>
      </w:r>
      <w:r w:rsidR="00A22D7D">
        <w:rPr>
          <w:sz w:val="24"/>
          <w:szCs w:val="24"/>
        </w:rPr>
        <w:t xml:space="preserve"> och</w:t>
      </w:r>
      <w:r w:rsidR="00A22D7D" w:rsidRPr="00B841CE">
        <w:rPr>
          <w:sz w:val="24"/>
          <w:szCs w:val="24"/>
        </w:rPr>
        <w:t xml:space="preserve"> </w:t>
      </w:r>
      <w:r w:rsidR="00A22D7D">
        <w:rPr>
          <w:sz w:val="24"/>
          <w:szCs w:val="24"/>
        </w:rPr>
        <w:t xml:space="preserve">inte </w:t>
      </w:r>
      <w:r w:rsidR="00DB1B1D">
        <w:rPr>
          <w:sz w:val="24"/>
          <w:szCs w:val="24"/>
        </w:rPr>
        <w:t>enbart</w:t>
      </w:r>
      <w:r w:rsidR="00A22D7D">
        <w:rPr>
          <w:sz w:val="24"/>
          <w:szCs w:val="24"/>
        </w:rPr>
        <w:t xml:space="preserve"> </w:t>
      </w:r>
      <w:r w:rsidR="00DB1B1D">
        <w:rPr>
          <w:sz w:val="24"/>
          <w:szCs w:val="24"/>
        </w:rPr>
        <w:t xml:space="preserve">om att genomföra åtgärder när problem </w:t>
      </w:r>
      <w:r w:rsidRPr="00B841CE">
        <w:rPr>
          <w:sz w:val="24"/>
          <w:szCs w:val="24"/>
        </w:rPr>
        <w:t>up</w:t>
      </w:r>
      <w:r w:rsidR="00A22D7D">
        <w:rPr>
          <w:sz w:val="24"/>
          <w:szCs w:val="24"/>
        </w:rPr>
        <w:t>pkommit i ett enskilt fall</w:t>
      </w:r>
      <w:r w:rsidRPr="00B841CE">
        <w:rPr>
          <w:sz w:val="24"/>
          <w:szCs w:val="24"/>
        </w:rPr>
        <w:t xml:space="preserve">. </w:t>
      </w:r>
    </w:p>
    <w:p w14:paraId="5B83FF65" w14:textId="77777777" w:rsidR="00A22D7D" w:rsidRDefault="00A22D7D" w:rsidP="007A0052">
      <w:pPr>
        <w:ind w:left="360"/>
        <w:rPr>
          <w:sz w:val="24"/>
          <w:szCs w:val="24"/>
        </w:rPr>
      </w:pPr>
    </w:p>
    <w:p w14:paraId="71E9A838" w14:textId="77777777" w:rsidR="001F61EA" w:rsidRDefault="00DB1B1D" w:rsidP="003B62F5">
      <w:pPr>
        <w:rPr>
          <w:sz w:val="24"/>
          <w:szCs w:val="24"/>
        </w:rPr>
      </w:pPr>
      <w:r>
        <w:rPr>
          <w:sz w:val="24"/>
          <w:szCs w:val="24"/>
        </w:rPr>
        <w:t xml:space="preserve">Följande </w:t>
      </w:r>
      <w:r w:rsidR="003A4318">
        <w:rPr>
          <w:sz w:val="24"/>
          <w:szCs w:val="24"/>
        </w:rPr>
        <w:t>arbetssätt</w:t>
      </w:r>
      <w:r>
        <w:rPr>
          <w:sz w:val="24"/>
          <w:szCs w:val="24"/>
        </w:rPr>
        <w:t xml:space="preserve"> ska</w:t>
      </w:r>
      <w:r w:rsidR="008936CB" w:rsidRPr="00B841CE">
        <w:rPr>
          <w:sz w:val="24"/>
          <w:szCs w:val="24"/>
        </w:rPr>
        <w:t xml:space="preserve"> t</w:t>
      </w:r>
      <w:r>
        <w:rPr>
          <w:sz w:val="24"/>
          <w:szCs w:val="24"/>
        </w:rPr>
        <w:t>illämpas när förvaltningarna</w:t>
      </w:r>
      <w:r w:rsidR="001F61EA" w:rsidRPr="00B841CE">
        <w:rPr>
          <w:sz w:val="24"/>
          <w:szCs w:val="24"/>
        </w:rPr>
        <w:t xml:space="preserve"> arbeta</w:t>
      </w:r>
      <w:r>
        <w:rPr>
          <w:sz w:val="24"/>
          <w:szCs w:val="24"/>
        </w:rPr>
        <w:t>r</w:t>
      </w:r>
      <w:r w:rsidR="001F61EA" w:rsidRPr="00B841CE">
        <w:rPr>
          <w:sz w:val="24"/>
          <w:szCs w:val="24"/>
        </w:rPr>
        <w:t xml:space="preserve"> med aktiva åtgärder och ta</w:t>
      </w:r>
      <w:r>
        <w:rPr>
          <w:sz w:val="24"/>
          <w:szCs w:val="24"/>
        </w:rPr>
        <w:t>r</w:t>
      </w:r>
      <w:r w:rsidR="001F61EA" w:rsidRPr="00B841CE">
        <w:rPr>
          <w:sz w:val="24"/>
          <w:szCs w:val="24"/>
        </w:rPr>
        <w:t xml:space="preserve"> fram aktiviteter inom ramen för mångfaldsarbete</w:t>
      </w:r>
      <w:r w:rsidR="007A0052" w:rsidRPr="00B841CE">
        <w:rPr>
          <w:sz w:val="24"/>
          <w:szCs w:val="24"/>
        </w:rPr>
        <w:t>t</w:t>
      </w:r>
      <w:r w:rsidR="001F61EA" w:rsidRPr="00B841CE">
        <w:rPr>
          <w:sz w:val="24"/>
          <w:szCs w:val="24"/>
        </w:rPr>
        <w:t xml:space="preserve">. </w:t>
      </w:r>
    </w:p>
    <w:p w14:paraId="2BE7728B" w14:textId="77777777" w:rsidR="00DC7DF3" w:rsidRDefault="00DC7DF3" w:rsidP="003B62F5">
      <w:pPr>
        <w:rPr>
          <w:sz w:val="24"/>
          <w:szCs w:val="24"/>
        </w:rPr>
      </w:pPr>
    </w:p>
    <w:p w14:paraId="6921FE42" w14:textId="77777777" w:rsidR="000A5FF7" w:rsidRDefault="00DC7DF3" w:rsidP="003B62F5">
      <w:pPr>
        <w:rPr>
          <w:sz w:val="24"/>
          <w:szCs w:val="24"/>
        </w:rPr>
      </w:pPr>
      <w:r w:rsidRPr="00DC7DF3">
        <w:rPr>
          <w:noProof/>
          <w:sz w:val="24"/>
          <w:szCs w:val="24"/>
        </w:rPr>
        <w:drawing>
          <wp:inline distT="0" distB="0" distL="0" distR="0" wp14:anchorId="7BEE97DA" wp14:editId="0B447551">
            <wp:extent cx="5731510" cy="4701457"/>
            <wp:effectExtent l="0" t="0" r="2540" b="4445"/>
            <wp:docPr id="4" name="Bildobjekt 4" descr="C:\Users\CEHEAA00\AppData\Local\Microsoft\Windows\Temporary Internet Files\Content.Outlook\J6X0MJOM\RoK samla ih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HEAA00\AppData\Local\Microsoft\Windows\Temporary Internet Files\Content.Outlook\J6X0MJOM\RoK samla iho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01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419EB" w14:textId="77777777" w:rsidR="00A22D7D" w:rsidRPr="00B841CE" w:rsidRDefault="00A22D7D" w:rsidP="007A0052">
      <w:pPr>
        <w:ind w:left="360"/>
        <w:rPr>
          <w:sz w:val="24"/>
          <w:szCs w:val="24"/>
        </w:rPr>
      </w:pPr>
    </w:p>
    <w:p w14:paraId="7C033471" w14:textId="77777777" w:rsidR="00A21305" w:rsidRPr="00824533" w:rsidRDefault="008936CB" w:rsidP="00824533">
      <w:pPr>
        <w:pStyle w:val="Liststycke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24533">
        <w:rPr>
          <w:rFonts w:ascii="Times New Roman" w:hAnsi="Times New Roman" w:cs="Times New Roman"/>
          <w:sz w:val="24"/>
          <w:szCs w:val="24"/>
        </w:rPr>
        <w:lastRenderedPageBreak/>
        <w:t>Undersök v</w:t>
      </w:r>
      <w:r w:rsidR="001F61EA" w:rsidRPr="00824533">
        <w:rPr>
          <w:rFonts w:ascii="Times New Roman" w:hAnsi="Times New Roman" w:cs="Times New Roman"/>
          <w:sz w:val="24"/>
          <w:szCs w:val="24"/>
        </w:rPr>
        <w:t>erksamhet</w:t>
      </w:r>
      <w:r w:rsidRPr="00824533">
        <w:rPr>
          <w:rFonts w:ascii="Times New Roman" w:hAnsi="Times New Roman" w:cs="Times New Roman"/>
          <w:sz w:val="24"/>
          <w:szCs w:val="24"/>
        </w:rPr>
        <w:t>en</w:t>
      </w:r>
      <w:r w:rsidR="001F61EA" w:rsidRPr="00824533">
        <w:rPr>
          <w:rFonts w:ascii="Times New Roman" w:hAnsi="Times New Roman" w:cs="Times New Roman"/>
          <w:sz w:val="24"/>
          <w:szCs w:val="24"/>
        </w:rPr>
        <w:t xml:space="preserve"> </w:t>
      </w:r>
      <w:r w:rsidR="00A21305" w:rsidRPr="00824533">
        <w:rPr>
          <w:rFonts w:ascii="Times New Roman" w:hAnsi="Times New Roman" w:cs="Times New Roman"/>
          <w:sz w:val="24"/>
          <w:szCs w:val="24"/>
        </w:rPr>
        <w:t xml:space="preserve">och </w:t>
      </w:r>
      <w:r w:rsidR="001F61EA" w:rsidRPr="00824533">
        <w:rPr>
          <w:rFonts w:ascii="Times New Roman" w:hAnsi="Times New Roman" w:cs="Times New Roman"/>
          <w:sz w:val="24"/>
          <w:szCs w:val="24"/>
        </w:rPr>
        <w:t xml:space="preserve">hur det ser ut </w:t>
      </w:r>
      <w:r w:rsidR="00A21305" w:rsidRPr="00824533">
        <w:rPr>
          <w:rFonts w:ascii="Times New Roman" w:hAnsi="Times New Roman" w:cs="Times New Roman"/>
          <w:sz w:val="24"/>
          <w:szCs w:val="24"/>
        </w:rPr>
        <w:t>på arbetsplatsen för att upptäcka eventuella risker för d</w:t>
      </w:r>
      <w:r w:rsidR="001F61EA" w:rsidRPr="00824533">
        <w:rPr>
          <w:rFonts w:ascii="Times New Roman" w:hAnsi="Times New Roman" w:cs="Times New Roman"/>
          <w:sz w:val="24"/>
          <w:szCs w:val="24"/>
        </w:rPr>
        <w:t>iskriminering</w:t>
      </w:r>
      <w:r w:rsidR="00A21305" w:rsidRPr="00824533">
        <w:rPr>
          <w:rFonts w:ascii="Times New Roman" w:hAnsi="Times New Roman" w:cs="Times New Roman"/>
          <w:sz w:val="24"/>
          <w:szCs w:val="24"/>
        </w:rPr>
        <w:t xml:space="preserve"> eller andra hinder för allas lika rättigheter och möjlighete</w:t>
      </w:r>
      <w:r w:rsidR="00DB1B1D" w:rsidRPr="00824533">
        <w:rPr>
          <w:rFonts w:ascii="Times New Roman" w:hAnsi="Times New Roman" w:cs="Times New Roman"/>
          <w:sz w:val="24"/>
          <w:szCs w:val="24"/>
        </w:rPr>
        <w:t>r. Det kan</w:t>
      </w:r>
      <w:r w:rsidR="001F61EA" w:rsidRPr="00824533">
        <w:rPr>
          <w:rFonts w:ascii="Times New Roman" w:hAnsi="Times New Roman" w:cs="Times New Roman"/>
          <w:sz w:val="24"/>
          <w:szCs w:val="24"/>
        </w:rPr>
        <w:t xml:space="preserve"> handla om verkliga</w:t>
      </w:r>
      <w:r w:rsidR="00A21305" w:rsidRPr="00824533">
        <w:rPr>
          <w:rFonts w:ascii="Times New Roman" w:hAnsi="Times New Roman" w:cs="Times New Roman"/>
          <w:sz w:val="24"/>
          <w:szCs w:val="24"/>
        </w:rPr>
        <w:t xml:space="preserve"> hinder eller hinder i form av attityder, normer och</w:t>
      </w:r>
      <w:r w:rsidR="00A22D7D" w:rsidRPr="00824533">
        <w:rPr>
          <w:rFonts w:ascii="Times New Roman" w:hAnsi="Times New Roman" w:cs="Times New Roman"/>
          <w:sz w:val="24"/>
          <w:szCs w:val="24"/>
        </w:rPr>
        <w:t>/eller</w:t>
      </w:r>
      <w:r w:rsidR="00A21305" w:rsidRPr="00824533">
        <w:rPr>
          <w:rFonts w:ascii="Times New Roman" w:hAnsi="Times New Roman" w:cs="Times New Roman"/>
          <w:sz w:val="24"/>
          <w:szCs w:val="24"/>
        </w:rPr>
        <w:t xml:space="preserve"> </w:t>
      </w:r>
      <w:r w:rsidR="00DB1B1D" w:rsidRPr="00824533">
        <w:rPr>
          <w:rFonts w:ascii="Times New Roman" w:hAnsi="Times New Roman" w:cs="Times New Roman"/>
          <w:sz w:val="24"/>
          <w:szCs w:val="24"/>
        </w:rPr>
        <w:t>organisations</w:t>
      </w:r>
      <w:r w:rsidR="00A21305" w:rsidRPr="00824533">
        <w:rPr>
          <w:rFonts w:ascii="Times New Roman" w:hAnsi="Times New Roman" w:cs="Times New Roman"/>
          <w:sz w:val="24"/>
          <w:szCs w:val="24"/>
        </w:rPr>
        <w:t xml:space="preserve">strukturer. </w:t>
      </w:r>
      <w:r w:rsidR="006C1393" w:rsidRPr="00824533">
        <w:rPr>
          <w:rFonts w:ascii="Times New Roman" w:hAnsi="Times New Roman" w:cs="Times New Roman"/>
          <w:sz w:val="24"/>
          <w:szCs w:val="24"/>
        </w:rPr>
        <w:t xml:space="preserve">Undersökningen </w:t>
      </w:r>
      <w:r w:rsidR="00A22D7D" w:rsidRPr="00824533">
        <w:rPr>
          <w:rFonts w:ascii="Times New Roman" w:hAnsi="Times New Roman" w:cs="Times New Roman"/>
          <w:sz w:val="24"/>
          <w:szCs w:val="24"/>
        </w:rPr>
        <w:t xml:space="preserve">av verksamheten </w:t>
      </w:r>
      <w:r w:rsidR="006C1393" w:rsidRPr="00824533">
        <w:rPr>
          <w:rFonts w:ascii="Times New Roman" w:hAnsi="Times New Roman" w:cs="Times New Roman"/>
          <w:sz w:val="24"/>
          <w:szCs w:val="24"/>
        </w:rPr>
        <w:t>kan göras på olika sätt</w:t>
      </w:r>
      <w:r w:rsidR="00A22D7D" w:rsidRPr="00824533">
        <w:rPr>
          <w:rFonts w:ascii="Times New Roman" w:hAnsi="Times New Roman" w:cs="Times New Roman"/>
          <w:sz w:val="24"/>
          <w:szCs w:val="24"/>
        </w:rPr>
        <w:t>,</w:t>
      </w:r>
      <w:r w:rsidR="006C1393" w:rsidRPr="00824533">
        <w:rPr>
          <w:rFonts w:ascii="Times New Roman" w:hAnsi="Times New Roman" w:cs="Times New Roman"/>
          <w:sz w:val="24"/>
          <w:szCs w:val="24"/>
        </w:rPr>
        <w:t xml:space="preserve"> exempelvis </w:t>
      </w:r>
      <w:r w:rsidR="00A22D7D" w:rsidRPr="00824533">
        <w:rPr>
          <w:rFonts w:ascii="Times New Roman" w:hAnsi="Times New Roman" w:cs="Times New Roman"/>
          <w:sz w:val="24"/>
          <w:szCs w:val="24"/>
        </w:rPr>
        <w:t xml:space="preserve">genom </w:t>
      </w:r>
      <w:r w:rsidR="006C1393" w:rsidRPr="00824533">
        <w:rPr>
          <w:rFonts w:ascii="Times New Roman" w:hAnsi="Times New Roman" w:cs="Times New Roman"/>
          <w:sz w:val="24"/>
          <w:szCs w:val="24"/>
        </w:rPr>
        <w:t xml:space="preserve">enkäter, intervjuer eller andra samtal. Tänk på att undersöka verksamheten utifrån samtliga diskrimineringsgrunder oberoende av hur arbetsgruppen är sammansatt. </w:t>
      </w:r>
    </w:p>
    <w:p w14:paraId="21FFDEB8" w14:textId="77777777" w:rsidR="00A22D7D" w:rsidRPr="00B841CE" w:rsidRDefault="00A22D7D" w:rsidP="00A22D7D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7010027F" w14:textId="77777777" w:rsidR="00A21305" w:rsidRDefault="008936CB" w:rsidP="001F61EA">
      <w:pPr>
        <w:pStyle w:val="Liststycke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841CE">
        <w:rPr>
          <w:rFonts w:ascii="Times New Roman" w:hAnsi="Times New Roman" w:cs="Times New Roman"/>
          <w:sz w:val="24"/>
          <w:szCs w:val="24"/>
        </w:rPr>
        <w:t>Om det föreligger risker och hinder</w:t>
      </w:r>
      <w:r w:rsidR="00A22D7D">
        <w:rPr>
          <w:rFonts w:ascii="Times New Roman" w:hAnsi="Times New Roman" w:cs="Times New Roman"/>
          <w:sz w:val="24"/>
          <w:szCs w:val="24"/>
        </w:rPr>
        <w:t xml:space="preserve"> i verksamheten</w:t>
      </w:r>
      <w:r w:rsidRPr="00B841CE">
        <w:rPr>
          <w:rFonts w:ascii="Times New Roman" w:hAnsi="Times New Roman" w:cs="Times New Roman"/>
          <w:sz w:val="24"/>
          <w:szCs w:val="24"/>
        </w:rPr>
        <w:t>, analysera orsaker</w:t>
      </w:r>
      <w:r w:rsidR="00B376AB" w:rsidRPr="00B841CE">
        <w:rPr>
          <w:rFonts w:ascii="Times New Roman" w:hAnsi="Times New Roman" w:cs="Times New Roman"/>
          <w:sz w:val="24"/>
          <w:szCs w:val="24"/>
        </w:rPr>
        <w:t>na</w:t>
      </w:r>
      <w:r w:rsidRPr="00B841CE">
        <w:rPr>
          <w:rFonts w:ascii="Times New Roman" w:hAnsi="Times New Roman" w:cs="Times New Roman"/>
          <w:sz w:val="24"/>
          <w:szCs w:val="24"/>
        </w:rPr>
        <w:t xml:space="preserve"> till dessa.</w:t>
      </w:r>
      <w:r w:rsidR="00B376AB" w:rsidRPr="00B841CE">
        <w:rPr>
          <w:rFonts w:ascii="Times New Roman" w:eastAsia="Times New Roman" w:hAnsi="Times New Roman" w:cs="Times New Roman"/>
          <w:color w:val="000000"/>
          <w:sz w:val="22"/>
          <w:szCs w:val="22"/>
          <w:lang w:eastAsia="sv-SE"/>
        </w:rPr>
        <w:t xml:space="preserve"> </w:t>
      </w:r>
      <w:r w:rsidR="00A22D7D">
        <w:rPr>
          <w:rFonts w:ascii="Times New Roman" w:eastAsia="Times New Roman" w:hAnsi="Times New Roman" w:cs="Times New Roman"/>
          <w:color w:val="000000"/>
          <w:sz w:val="22"/>
          <w:szCs w:val="22"/>
          <w:lang w:eastAsia="sv-SE"/>
        </w:rPr>
        <w:t>R</w:t>
      </w:r>
      <w:r w:rsidR="00B376AB" w:rsidRPr="00B841CE">
        <w:rPr>
          <w:rFonts w:ascii="Times New Roman" w:hAnsi="Times New Roman" w:cs="Times New Roman"/>
          <w:sz w:val="24"/>
          <w:szCs w:val="24"/>
        </w:rPr>
        <w:t>eflektera, analysera och dra slutsatser om varför det ser ut som det gör.</w:t>
      </w:r>
    </w:p>
    <w:p w14:paraId="313CB12F" w14:textId="77777777" w:rsidR="00A22D7D" w:rsidRPr="00B841CE" w:rsidRDefault="00A22D7D" w:rsidP="00A22D7D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0066130C" w14:textId="77777777" w:rsidR="00865F52" w:rsidRDefault="001F61EA" w:rsidP="00865F52">
      <w:pPr>
        <w:pStyle w:val="Liststycke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841CE">
        <w:rPr>
          <w:rFonts w:ascii="Times New Roman" w:hAnsi="Times New Roman" w:cs="Times New Roman"/>
          <w:sz w:val="24"/>
          <w:szCs w:val="24"/>
        </w:rPr>
        <w:t>Utifrån resultatet av undersökningen</w:t>
      </w:r>
      <w:r w:rsidR="008936CB" w:rsidRPr="00B841CE">
        <w:rPr>
          <w:rFonts w:ascii="Times New Roman" w:hAnsi="Times New Roman" w:cs="Times New Roman"/>
          <w:sz w:val="24"/>
          <w:szCs w:val="24"/>
        </w:rPr>
        <w:t>,</w:t>
      </w:r>
      <w:r w:rsidRPr="00B841CE">
        <w:rPr>
          <w:rFonts w:ascii="Times New Roman" w:hAnsi="Times New Roman" w:cs="Times New Roman"/>
          <w:sz w:val="24"/>
          <w:szCs w:val="24"/>
        </w:rPr>
        <w:t xml:space="preserve"> arbeta med å</w:t>
      </w:r>
      <w:r w:rsidR="008936CB" w:rsidRPr="00B841CE">
        <w:rPr>
          <w:rFonts w:ascii="Times New Roman" w:hAnsi="Times New Roman" w:cs="Times New Roman"/>
          <w:sz w:val="24"/>
          <w:szCs w:val="24"/>
        </w:rPr>
        <w:t>t</w:t>
      </w:r>
      <w:r w:rsidR="00A21305" w:rsidRPr="00B841CE">
        <w:rPr>
          <w:rFonts w:ascii="Times New Roman" w:hAnsi="Times New Roman" w:cs="Times New Roman"/>
          <w:sz w:val="24"/>
          <w:szCs w:val="24"/>
        </w:rPr>
        <w:t xml:space="preserve">gärder för </w:t>
      </w:r>
      <w:r w:rsidRPr="00B841CE">
        <w:rPr>
          <w:rFonts w:ascii="Times New Roman" w:hAnsi="Times New Roman" w:cs="Times New Roman"/>
          <w:sz w:val="24"/>
          <w:szCs w:val="24"/>
        </w:rPr>
        <w:t>a</w:t>
      </w:r>
      <w:r w:rsidR="008936CB" w:rsidRPr="00B841CE">
        <w:rPr>
          <w:rFonts w:ascii="Times New Roman" w:hAnsi="Times New Roman" w:cs="Times New Roman"/>
          <w:sz w:val="24"/>
          <w:szCs w:val="24"/>
        </w:rPr>
        <w:t xml:space="preserve">tt undanröja risker och hinder som </w:t>
      </w:r>
      <w:r w:rsidR="00A22D7D">
        <w:rPr>
          <w:rFonts w:ascii="Times New Roman" w:hAnsi="Times New Roman" w:cs="Times New Roman"/>
          <w:sz w:val="24"/>
          <w:szCs w:val="24"/>
        </w:rPr>
        <w:t>finns i verksamheten</w:t>
      </w:r>
      <w:r w:rsidR="008936CB" w:rsidRPr="00B841CE">
        <w:rPr>
          <w:rFonts w:ascii="Times New Roman" w:hAnsi="Times New Roman" w:cs="Times New Roman"/>
          <w:sz w:val="24"/>
          <w:szCs w:val="24"/>
        </w:rPr>
        <w:t xml:space="preserve"> </w:t>
      </w:r>
      <w:r w:rsidR="00A22D7D">
        <w:rPr>
          <w:rFonts w:ascii="Times New Roman" w:hAnsi="Times New Roman" w:cs="Times New Roman"/>
          <w:sz w:val="24"/>
          <w:szCs w:val="24"/>
        </w:rPr>
        <w:t xml:space="preserve">för </w:t>
      </w:r>
      <w:r w:rsidR="00A21305" w:rsidRPr="00B841CE">
        <w:rPr>
          <w:rFonts w:ascii="Times New Roman" w:hAnsi="Times New Roman" w:cs="Times New Roman"/>
          <w:sz w:val="24"/>
          <w:szCs w:val="24"/>
        </w:rPr>
        <w:t xml:space="preserve">att </w:t>
      </w:r>
      <w:r w:rsidR="00A22D7D">
        <w:rPr>
          <w:rFonts w:ascii="Times New Roman" w:hAnsi="Times New Roman" w:cs="Times New Roman"/>
          <w:sz w:val="24"/>
          <w:szCs w:val="24"/>
        </w:rPr>
        <w:t xml:space="preserve">kunna </w:t>
      </w:r>
      <w:r w:rsidR="00A21305" w:rsidRPr="00B841CE">
        <w:rPr>
          <w:rFonts w:ascii="Times New Roman" w:hAnsi="Times New Roman" w:cs="Times New Roman"/>
          <w:sz w:val="24"/>
          <w:szCs w:val="24"/>
        </w:rPr>
        <w:t>förebygga diskriminering</w:t>
      </w:r>
      <w:r w:rsidRPr="00B841CE">
        <w:rPr>
          <w:rFonts w:ascii="Times New Roman" w:hAnsi="Times New Roman" w:cs="Times New Roman"/>
          <w:sz w:val="24"/>
          <w:szCs w:val="24"/>
        </w:rPr>
        <w:t xml:space="preserve"> och främja lika rättigheter samt</w:t>
      </w:r>
      <w:r w:rsidR="00A21305" w:rsidRPr="00B841CE">
        <w:rPr>
          <w:rFonts w:ascii="Times New Roman" w:hAnsi="Times New Roman" w:cs="Times New Roman"/>
          <w:sz w:val="24"/>
          <w:szCs w:val="24"/>
        </w:rPr>
        <w:t xml:space="preserve"> möjligheter.</w:t>
      </w:r>
      <w:r w:rsidR="00BB7973">
        <w:rPr>
          <w:rFonts w:ascii="Times New Roman" w:hAnsi="Times New Roman" w:cs="Times New Roman"/>
          <w:sz w:val="24"/>
          <w:szCs w:val="24"/>
        </w:rPr>
        <w:t xml:space="preserve"> Aktiviteterna förs in i en samlad aktivitetsplan för enheten.</w:t>
      </w:r>
    </w:p>
    <w:p w14:paraId="66F564F6" w14:textId="77777777" w:rsidR="00865F52" w:rsidRPr="00865F52" w:rsidRDefault="00865F52" w:rsidP="00865F52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6F2F14A5" w14:textId="77777777" w:rsidR="00865F52" w:rsidRDefault="001A038F" w:rsidP="00865F52">
      <w:pPr>
        <w:pStyle w:val="Liststycke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65F52">
        <w:rPr>
          <w:rFonts w:ascii="Times New Roman" w:hAnsi="Times New Roman" w:cs="Times New Roman"/>
          <w:sz w:val="24"/>
          <w:szCs w:val="24"/>
        </w:rPr>
        <w:t>Det sista steget är att följa upp och utvärdera undersökningen, analysen och åtgärderna. När det är klart ska de e</w:t>
      </w:r>
      <w:r w:rsidR="00484D56">
        <w:rPr>
          <w:rFonts w:ascii="Times New Roman" w:hAnsi="Times New Roman" w:cs="Times New Roman"/>
          <w:sz w:val="24"/>
          <w:szCs w:val="24"/>
        </w:rPr>
        <w:t>rfarenheter som arbetet har givit</w:t>
      </w:r>
      <w:r w:rsidRPr="00865F52">
        <w:rPr>
          <w:rFonts w:ascii="Times New Roman" w:hAnsi="Times New Roman" w:cs="Times New Roman"/>
          <w:sz w:val="24"/>
          <w:szCs w:val="24"/>
        </w:rPr>
        <w:t xml:space="preserve"> gå att använda i s</w:t>
      </w:r>
      <w:r w:rsidR="00A22D7D" w:rsidRPr="00865F52">
        <w:rPr>
          <w:rFonts w:ascii="Times New Roman" w:hAnsi="Times New Roman" w:cs="Times New Roman"/>
          <w:sz w:val="24"/>
          <w:szCs w:val="24"/>
        </w:rPr>
        <w:t>teg 1 (undersökningen) i nästa omgång</w:t>
      </w:r>
      <w:r w:rsidRPr="00865F52">
        <w:rPr>
          <w:rFonts w:ascii="Times New Roman" w:hAnsi="Times New Roman" w:cs="Times New Roman"/>
          <w:sz w:val="24"/>
          <w:szCs w:val="24"/>
        </w:rPr>
        <w:t xml:space="preserve"> av</w:t>
      </w:r>
      <w:r w:rsidR="00A22D7D" w:rsidRPr="00865F52">
        <w:rPr>
          <w:rFonts w:ascii="Times New Roman" w:hAnsi="Times New Roman" w:cs="Times New Roman"/>
          <w:sz w:val="24"/>
          <w:szCs w:val="24"/>
        </w:rPr>
        <w:t xml:space="preserve"> det löpande</w:t>
      </w:r>
      <w:r w:rsidRPr="00865F52">
        <w:rPr>
          <w:rFonts w:ascii="Times New Roman" w:hAnsi="Times New Roman" w:cs="Times New Roman"/>
          <w:sz w:val="24"/>
          <w:szCs w:val="24"/>
        </w:rPr>
        <w:t xml:space="preserve"> arbetet med aktiva åtgärder.</w:t>
      </w:r>
    </w:p>
    <w:p w14:paraId="7C380003" w14:textId="77777777" w:rsidR="00B14A2B" w:rsidRPr="00B14A2B" w:rsidRDefault="00B14A2B" w:rsidP="00B14A2B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0B657FE2" w14:textId="77777777" w:rsidR="00B14A2B" w:rsidRDefault="00B14A2B" w:rsidP="00B14A2B">
      <w:pPr>
        <w:rPr>
          <w:sz w:val="24"/>
          <w:szCs w:val="24"/>
        </w:rPr>
      </w:pPr>
    </w:p>
    <w:p w14:paraId="4FE7C044" w14:textId="77777777" w:rsidR="00B14A2B" w:rsidRDefault="00B14A2B" w:rsidP="00B14A2B">
      <w:pPr>
        <w:rPr>
          <w:sz w:val="24"/>
          <w:szCs w:val="24"/>
        </w:rPr>
      </w:pPr>
    </w:p>
    <w:p w14:paraId="08C7CF44" w14:textId="77777777" w:rsidR="00B14A2B" w:rsidRDefault="00B14A2B" w:rsidP="00B14A2B">
      <w:pPr>
        <w:rPr>
          <w:sz w:val="24"/>
          <w:szCs w:val="24"/>
        </w:rPr>
      </w:pPr>
    </w:p>
    <w:p w14:paraId="74672004" w14:textId="77777777" w:rsidR="00B14A2B" w:rsidRDefault="00B14A2B" w:rsidP="00B14A2B">
      <w:pPr>
        <w:rPr>
          <w:sz w:val="24"/>
          <w:szCs w:val="24"/>
        </w:rPr>
      </w:pPr>
    </w:p>
    <w:p w14:paraId="33444220" w14:textId="77777777" w:rsidR="00B14A2B" w:rsidRDefault="00B14A2B" w:rsidP="00B14A2B">
      <w:pPr>
        <w:rPr>
          <w:sz w:val="24"/>
          <w:szCs w:val="24"/>
        </w:rPr>
      </w:pPr>
    </w:p>
    <w:p w14:paraId="5CA98516" w14:textId="77777777" w:rsidR="00B14A2B" w:rsidRDefault="00B14A2B" w:rsidP="00B14A2B">
      <w:pPr>
        <w:rPr>
          <w:sz w:val="24"/>
          <w:szCs w:val="24"/>
        </w:rPr>
      </w:pPr>
    </w:p>
    <w:p w14:paraId="6E63976C" w14:textId="77777777" w:rsidR="00B14A2B" w:rsidRPr="00B14A2B" w:rsidRDefault="00B14A2B" w:rsidP="00B14A2B">
      <w:pPr>
        <w:rPr>
          <w:sz w:val="24"/>
          <w:szCs w:val="24"/>
        </w:rPr>
      </w:pPr>
    </w:p>
    <w:p w14:paraId="7DB502CA" w14:textId="77777777" w:rsidR="00AF3818" w:rsidRPr="00865F52" w:rsidRDefault="00427A1B" w:rsidP="00865F52">
      <w:pPr>
        <w:ind w:left="360"/>
        <w:jc w:val="center"/>
        <w:rPr>
          <w:sz w:val="24"/>
          <w:szCs w:val="24"/>
        </w:rPr>
      </w:pPr>
      <w:r w:rsidRPr="00B841CE">
        <w:rPr>
          <w:noProof/>
        </w:rPr>
        <w:drawing>
          <wp:inline distT="0" distB="0" distL="0" distR="0" wp14:anchorId="5C556649" wp14:editId="5341F1C2">
            <wp:extent cx="2933700" cy="3043716"/>
            <wp:effectExtent l="0" t="0" r="0" b="444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74563" cy="308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909A1" w14:textId="77777777" w:rsidR="007B6273" w:rsidRPr="00B841CE" w:rsidRDefault="007B6273" w:rsidP="007B6273">
      <w:pPr>
        <w:rPr>
          <w:sz w:val="24"/>
          <w:szCs w:val="24"/>
        </w:rPr>
      </w:pPr>
    </w:p>
    <w:p w14:paraId="3B331DE9" w14:textId="77777777" w:rsidR="00AF3818" w:rsidRPr="00B841CE" w:rsidRDefault="00FF75B2" w:rsidP="003B62F5">
      <w:pPr>
        <w:pStyle w:val="Rubrik1"/>
        <w:numPr>
          <w:ilvl w:val="0"/>
          <w:numId w:val="15"/>
        </w:numPr>
      </w:pPr>
      <w:bookmarkStart w:id="57" w:name="_Toc517271940"/>
      <w:r>
        <w:t>Årlig u</w:t>
      </w:r>
      <w:r w:rsidR="00AF3818" w:rsidRPr="00B841CE">
        <w:t>ppföljning</w:t>
      </w:r>
      <w:r w:rsidR="00B54B82" w:rsidRPr="00B841CE">
        <w:t xml:space="preserve"> och dokumentation</w:t>
      </w:r>
      <w:bookmarkEnd w:id="57"/>
    </w:p>
    <w:p w14:paraId="330F44DE" w14:textId="77777777" w:rsidR="00B54B82" w:rsidRPr="00B841CE" w:rsidRDefault="00B54B82" w:rsidP="00B54B82"/>
    <w:p w14:paraId="6BD1CE97" w14:textId="77777777" w:rsidR="006420EB" w:rsidRDefault="00B54B82" w:rsidP="00AF3818">
      <w:pPr>
        <w:rPr>
          <w:sz w:val="24"/>
          <w:szCs w:val="24"/>
        </w:rPr>
      </w:pPr>
      <w:r w:rsidRPr="00B841CE">
        <w:rPr>
          <w:sz w:val="24"/>
          <w:szCs w:val="24"/>
        </w:rPr>
        <w:t xml:space="preserve">För att arbetet med aktiva åtgärder ska kunna följas </w:t>
      </w:r>
      <w:r w:rsidR="00A22D7D">
        <w:rPr>
          <w:sz w:val="24"/>
          <w:szCs w:val="24"/>
        </w:rPr>
        <w:t xml:space="preserve">upp </w:t>
      </w:r>
      <w:r w:rsidRPr="00B841CE">
        <w:rPr>
          <w:sz w:val="24"/>
          <w:szCs w:val="24"/>
        </w:rPr>
        <w:t>och fungera som ett stöd i verksamheten ska dokumentationen ske löpande.</w:t>
      </w:r>
      <w:r w:rsidR="006420EB">
        <w:rPr>
          <w:sz w:val="24"/>
          <w:szCs w:val="24"/>
        </w:rPr>
        <w:t xml:space="preserve"> Arbetet med de aktiva </w:t>
      </w:r>
      <w:proofErr w:type="spellStart"/>
      <w:r w:rsidR="006420EB">
        <w:rPr>
          <w:sz w:val="24"/>
          <w:szCs w:val="24"/>
        </w:rPr>
        <w:t>åtgärdera</w:t>
      </w:r>
      <w:proofErr w:type="spellEnd"/>
      <w:r w:rsidR="006420EB">
        <w:rPr>
          <w:sz w:val="24"/>
          <w:szCs w:val="24"/>
        </w:rPr>
        <w:t xml:space="preserve"> följs upp i årlig uppföljning. </w:t>
      </w:r>
    </w:p>
    <w:p w14:paraId="6AEF5DCE" w14:textId="77777777" w:rsidR="00C5560F" w:rsidRDefault="00C5560F" w:rsidP="00C5560F"/>
    <w:sectPr w:rsidR="00C5560F" w:rsidSect="00391703">
      <w:headerReference w:type="default" r:id="rId10"/>
      <w:footerReference w:type="default" r:id="rId11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76B76" w14:textId="77777777" w:rsidR="0012551E" w:rsidRDefault="0012551E">
      <w:r>
        <w:separator/>
      </w:r>
    </w:p>
  </w:endnote>
  <w:endnote w:type="continuationSeparator" w:id="0">
    <w:p w14:paraId="4FDD4DE2" w14:textId="77777777" w:rsidR="0012551E" w:rsidRDefault="0012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F1B64" w14:textId="77777777" w:rsidR="009C192B" w:rsidRDefault="009C192B">
    <w:pPr>
      <w:jc w:val="right"/>
      <w:rPr>
        <w:sz w:val="20"/>
        <w:szCs w:val="20"/>
      </w:rPr>
    </w:pPr>
    <w:r>
      <w:rPr>
        <w:sz w:val="20"/>
        <w:szCs w:val="20"/>
      </w:rPr>
      <w:t xml:space="preserve">Sida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37701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(</w:t>
    </w:r>
    <w:r>
      <w:rPr>
        <w:sz w:val="20"/>
        <w:szCs w:val="20"/>
      </w:rPr>
      <w:fldChar w:fldCharType="begin"/>
    </w:r>
    <w:r>
      <w:rPr>
        <w:sz w:val="20"/>
        <w:szCs w:val="20"/>
      </w:rPr>
      <w:instrText>NUMPAGES</w:instrText>
    </w:r>
    <w:r>
      <w:rPr>
        <w:sz w:val="20"/>
        <w:szCs w:val="20"/>
      </w:rPr>
      <w:fldChar w:fldCharType="separate"/>
    </w:r>
    <w:r w:rsidR="0037701D">
      <w:rPr>
        <w:noProof/>
        <w:sz w:val="20"/>
        <w:szCs w:val="20"/>
      </w:rPr>
      <w:t>7</w:t>
    </w:r>
    <w:r>
      <w:rPr>
        <w:sz w:val="20"/>
        <w:szCs w:val="20"/>
      </w:rPr>
      <w:fldChar w:fldCharType="end"/>
    </w:r>
    <w:r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48741" w14:textId="77777777" w:rsidR="0012551E" w:rsidRDefault="0012551E">
      <w:r>
        <w:separator/>
      </w:r>
    </w:p>
  </w:footnote>
  <w:footnote w:type="continuationSeparator" w:id="0">
    <w:p w14:paraId="69608A22" w14:textId="77777777" w:rsidR="0012551E" w:rsidRDefault="00125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6A39" w14:textId="77777777" w:rsidR="00A42B88" w:rsidRDefault="00A42B88" w:rsidP="001D4214">
    <w:pPr>
      <w:pStyle w:val="Sidhuvud"/>
      <w:ind w:left="4536"/>
    </w:pPr>
    <w:r>
      <w:tab/>
    </w:r>
  </w:p>
  <w:p w14:paraId="285B0605" w14:textId="77777777" w:rsidR="001D4214" w:rsidRDefault="00EE3C32" w:rsidP="001D4214">
    <w:pPr>
      <w:pStyle w:val="Sidhuvud"/>
      <w:ind w:left="4536"/>
    </w:pPr>
    <w:r>
      <w:rPr>
        <w:noProof/>
      </w:rPr>
      <w:drawing>
        <wp:anchor distT="0" distB="0" distL="114300" distR="114300" simplePos="0" relativeHeight="251659264" behindDoc="0" locked="0" layoutInCell="0" allowOverlap="1" wp14:anchorId="0532CFB3" wp14:editId="0956BEC0">
          <wp:simplePos x="0" y="0"/>
          <wp:positionH relativeFrom="page">
            <wp:posOffset>643467</wp:posOffset>
          </wp:positionH>
          <wp:positionV relativeFrom="page">
            <wp:posOffset>414866</wp:posOffset>
          </wp:positionV>
          <wp:extent cx="1390650" cy="428625"/>
          <wp:effectExtent l="0" t="0" r="0" b="9525"/>
          <wp:wrapTight wrapText="bothSides">
            <wp:wrapPolygon edited="0">
              <wp:start x="0" y="0"/>
              <wp:lineTo x="0" y="21120"/>
              <wp:lineTo x="21304" y="21120"/>
              <wp:lineTo x="21304" y="0"/>
              <wp:lineTo x="0" y="0"/>
            </wp:wrapPolygon>
          </wp:wrapTight>
          <wp:docPr id="1" name="Bild 1" descr="Beskrivning: Haninge_ligg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Haninge_ligg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214">
      <w:rPr>
        <w:b/>
      </w:rPr>
      <w:t>Rutin för arbete med aktiva åtgärder i enlighet med diskrimineringslagen</w:t>
    </w:r>
    <w:r w:rsidR="001D4214" w:rsidRPr="009C5A22">
      <w:rPr>
        <w:b/>
        <w:noProof/>
      </w:rPr>
      <w:drawing>
        <wp:anchor distT="0" distB="0" distL="114300" distR="114300" simplePos="0" relativeHeight="251661312" behindDoc="0" locked="0" layoutInCell="0" allowOverlap="1" wp14:anchorId="5FE0927B" wp14:editId="45606481">
          <wp:simplePos x="0" y="0"/>
          <wp:positionH relativeFrom="page">
            <wp:posOffset>643467</wp:posOffset>
          </wp:positionH>
          <wp:positionV relativeFrom="page">
            <wp:posOffset>414866</wp:posOffset>
          </wp:positionV>
          <wp:extent cx="1390650" cy="428625"/>
          <wp:effectExtent l="0" t="0" r="635" b="0"/>
          <wp:wrapTight wrapText="bothSides">
            <wp:wrapPolygon edited="0">
              <wp:start x="0" y="0"/>
              <wp:lineTo x="0" y="20377"/>
              <wp:lineTo x="21357" y="20377"/>
              <wp:lineTo x="21357" y="0"/>
              <wp:lineTo x="0" y="0"/>
            </wp:wrapPolygon>
          </wp:wrapTight>
          <wp:docPr id="3" name="Bild 1" descr="Beskrivning: Haninge_ligg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Haninge_ligg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214" w:rsidRPr="009C5A22">
      <w:rPr>
        <w:b/>
      </w:rPr>
      <w:ptab w:relativeTo="margin" w:alignment="center" w:leader="none"/>
    </w:r>
    <w:r w:rsidR="001D4214" w:rsidRPr="009C5A22">
      <w:rPr>
        <w:b/>
      </w:rPr>
      <w:t>Ansvarig</w:t>
    </w:r>
    <w:r w:rsidR="001D4214">
      <w:t>: Personalavdelningen, enheten för arbetsgivarfrågor</w:t>
    </w:r>
    <w:r w:rsidR="001D4214">
      <w:br/>
    </w:r>
    <w:r w:rsidR="001D4214" w:rsidRPr="009C5A22">
      <w:rPr>
        <w:b/>
      </w:rPr>
      <w:t>Senast justerad:</w:t>
    </w:r>
    <w:r w:rsidR="006420EB">
      <w:t xml:space="preserve"> 2019-12-17</w:t>
    </w:r>
  </w:p>
  <w:p w14:paraId="4702A44A" w14:textId="77777777" w:rsidR="009C192B" w:rsidRPr="00A42B88" w:rsidRDefault="00BB7973" w:rsidP="00A42B88">
    <w:pPr>
      <w:pStyle w:val="Sidhuvud"/>
      <w:ind w:left="4536"/>
      <w:rPr>
        <w:b/>
      </w:rPr>
    </w:pPr>
    <w:r>
      <w:rPr>
        <w:b/>
      </w:rPr>
      <w:t>Version 2</w:t>
    </w:r>
    <w:r w:rsidR="001D4214" w:rsidRPr="009C5A22">
      <w:rPr>
        <w:b/>
      </w:rPr>
      <w:t>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0EF"/>
    <w:multiLevelType w:val="hybridMultilevel"/>
    <w:tmpl w:val="44A4AA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B3EC9"/>
    <w:multiLevelType w:val="hybridMultilevel"/>
    <w:tmpl w:val="87761C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8667B"/>
    <w:multiLevelType w:val="multilevel"/>
    <w:tmpl w:val="9F54C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9063969"/>
    <w:multiLevelType w:val="multilevel"/>
    <w:tmpl w:val="820A53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0D2CB9"/>
    <w:multiLevelType w:val="hybridMultilevel"/>
    <w:tmpl w:val="01DA73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416CE"/>
    <w:multiLevelType w:val="hybridMultilevel"/>
    <w:tmpl w:val="93467060"/>
    <w:lvl w:ilvl="0" w:tplc="BD76F43E">
      <w:start w:val="3"/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337F7C"/>
    <w:multiLevelType w:val="hybridMultilevel"/>
    <w:tmpl w:val="953CAB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7363F"/>
    <w:multiLevelType w:val="hybridMultilevel"/>
    <w:tmpl w:val="585407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20751"/>
    <w:multiLevelType w:val="multilevel"/>
    <w:tmpl w:val="B5F4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0B2C31"/>
    <w:multiLevelType w:val="hybridMultilevel"/>
    <w:tmpl w:val="1A9E9E2C"/>
    <w:lvl w:ilvl="0" w:tplc="3A6006B8">
      <w:start w:val="2"/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6B5F5D"/>
    <w:multiLevelType w:val="hybridMultilevel"/>
    <w:tmpl w:val="E932CFEC"/>
    <w:lvl w:ilvl="0" w:tplc="295623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000B6"/>
    <w:multiLevelType w:val="hybridMultilevel"/>
    <w:tmpl w:val="063469F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6230AC"/>
    <w:multiLevelType w:val="hybridMultilevel"/>
    <w:tmpl w:val="2F6CABB4"/>
    <w:lvl w:ilvl="0" w:tplc="0F94034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90B46"/>
    <w:multiLevelType w:val="multilevel"/>
    <w:tmpl w:val="5CF80B0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3BD76796"/>
    <w:multiLevelType w:val="hybridMultilevel"/>
    <w:tmpl w:val="416C3FF8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CB2838"/>
    <w:multiLevelType w:val="hybridMultilevel"/>
    <w:tmpl w:val="3D06939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85918"/>
    <w:multiLevelType w:val="multilevel"/>
    <w:tmpl w:val="735C2E6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44215CA0"/>
    <w:multiLevelType w:val="hybridMultilevel"/>
    <w:tmpl w:val="8892D5D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BD2ADB"/>
    <w:multiLevelType w:val="hybridMultilevel"/>
    <w:tmpl w:val="1FE27474"/>
    <w:lvl w:ilvl="0" w:tplc="9B1044BA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F11074"/>
    <w:multiLevelType w:val="hybridMultilevel"/>
    <w:tmpl w:val="44A4AA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913C2"/>
    <w:multiLevelType w:val="hybridMultilevel"/>
    <w:tmpl w:val="E0A24772"/>
    <w:lvl w:ilvl="0" w:tplc="041D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604E3"/>
    <w:multiLevelType w:val="multilevel"/>
    <w:tmpl w:val="7488E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  <w:szCs w:val="36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427106"/>
    <w:multiLevelType w:val="multilevel"/>
    <w:tmpl w:val="DA569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C132A44"/>
    <w:multiLevelType w:val="hybridMultilevel"/>
    <w:tmpl w:val="5792D148"/>
    <w:lvl w:ilvl="0" w:tplc="0F94034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125869">
    <w:abstractNumId w:val="1"/>
  </w:num>
  <w:num w:numId="2" w16cid:durableId="166601705">
    <w:abstractNumId w:val="7"/>
  </w:num>
  <w:num w:numId="3" w16cid:durableId="558247273">
    <w:abstractNumId w:val="0"/>
  </w:num>
  <w:num w:numId="4" w16cid:durableId="365571499">
    <w:abstractNumId w:val="19"/>
  </w:num>
  <w:num w:numId="5" w16cid:durableId="751700914">
    <w:abstractNumId w:val="2"/>
  </w:num>
  <w:num w:numId="6" w16cid:durableId="1049645289">
    <w:abstractNumId w:val="12"/>
  </w:num>
  <w:num w:numId="7" w16cid:durableId="1936087104">
    <w:abstractNumId w:val="5"/>
  </w:num>
  <w:num w:numId="8" w16cid:durableId="907767303">
    <w:abstractNumId w:val="9"/>
  </w:num>
  <w:num w:numId="9" w16cid:durableId="1244951202">
    <w:abstractNumId w:val="6"/>
  </w:num>
  <w:num w:numId="10" w16cid:durableId="589895521">
    <w:abstractNumId w:val="23"/>
  </w:num>
  <w:num w:numId="11" w16cid:durableId="1085415140">
    <w:abstractNumId w:val="15"/>
  </w:num>
  <w:num w:numId="12" w16cid:durableId="1657759183">
    <w:abstractNumId w:val="10"/>
  </w:num>
  <w:num w:numId="13" w16cid:durableId="2031761177">
    <w:abstractNumId w:val="14"/>
  </w:num>
  <w:num w:numId="14" w16cid:durableId="301547602">
    <w:abstractNumId w:val="8"/>
  </w:num>
  <w:num w:numId="15" w16cid:durableId="1730572131">
    <w:abstractNumId w:val="21"/>
  </w:num>
  <w:num w:numId="16" w16cid:durableId="83890599">
    <w:abstractNumId w:val="4"/>
  </w:num>
  <w:num w:numId="17" w16cid:durableId="1466001944">
    <w:abstractNumId w:val="22"/>
  </w:num>
  <w:num w:numId="18" w16cid:durableId="1422918759">
    <w:abstractNumId w:val="13"/>
  </w:num>
  <w:num w:numId="19" w16cid:durableId="932737753">
    <w:abstractNumId w:val="16"/>
  </w:num>
  <w:num w:numId="20" w16cid:durableId="1228416885">
    <w:abstractNumId w:val="17"/>
  </w:num>
  <w:num w:numId="21" w16cid:durableId="277880084">
    <w:abstractNumId w:val="11"/>
  </w:num>
  <w:num w:numId="22" w16cid:durableId="863633972">
    <w:abstractNumId w:val="3"/>
  </w:num>
  <w:num w:numId="23" w16cid:durableId="609317030">
    <w:abstractNumId w:val="20"/>
  </w:num>
  <w:num w:numId="24" w16cid:durableId="5340823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7E57"/>
    <w:rsid w:val="00055C91"/>
    <w:rsid w:val="00060AE0"/>
    <w:rsid w:val="0007250F"/>
    <w:rsid w:val="00073BD1"/>
    <w:rsid w:val="000767C7"/>
    <w:rsid w:val="00077732"/>
    <w:rsid w:val="00081598"/>
    <w:rsid w:val="0009521F"/>
    <w:rsid w:val="000A01F8"/>
    <w:rsid w:val="000A5FF7"/>
    <w:rsid w:val="000B0908"/>
    <w:rsid w:val="000B1E81"/>
    <w:rsid w:val="000B61E0"/>
    <w:rsid w:val="000D1D83"/>
    <w:rsid w:val="000D62B1"/>
    <w:rsid w:val="000D6955"/>
    <w:rsid w:val="000F2DC5"/>
    <w:rsid w:val="001030C0"/>
    <w:rsid w:val="00107B5C"/>
    <w:rsid w:val="0012551E"/>
    <w:rsid w:val="001426FF"/>
    <w:rsid w:val="00145D18"/>
    <w:rsid w:val="00156E7B"/>
    <w:rsid w:val="00184245"/>
    <w:rsid w:val="001842ED"/>
    <w:rsid w:val="001850A5"/>
    <w:rsid w:val="001A038F"/>
    <w:rsid w:val="001B5F47"/>
    <w:rsid w:val="001B7F04"/>
    <w:rsid w:val="001C4FDC"/>
    <w:rsid w:val="001D4214"/>
    <w:rsid w:val="001E67DD"/>
    <w:rsid w:val="001F04B0"/>
    <w:rsid w:val="001F61EA"/>
    <w:rsid w:val="00204702"/>
    <w:rsid w:val="00205712"/>
    <w:rsid w:val="00231DBE"/>
    <w:rsid w:val="002727F8"/>
    <w:rsid w:val="002752E4"/>
    <w:rsid w:val="0029451C"/>
    <w:rsid w:val="002A3DEE"/>
    <w:rsid w:val="002A795B"/>
    <w:rsid w:val="002A7E62"/>
    <w:rsid w:val="002B1174"/>
    <w:rsid w:val="002B54D2"/>
    <w:rsid w:val="002C19D7"/>
    <w:rsid w:val="002C7A89"/>
    <w:rsid w:val="00307451"/>
    <w:rsid w:val="003102E5"/>
    <w:rsid w:val="00320429"/>
    <w:rsid w:val="00342BC0"/>
    <w:rsid w:val="00343ABA"/>
    <w:rsid w:val="003607B5"/>
    <w:rsid w:val="00363D10"/>
    <w:rsid w:val="003732DC"/>
    <w:rsid w:val="0037701D"/>
    <w:rsid w:val="00391703"/>
    <w:rsid w:val="00392B06"/>
    <w:rsid w:val="003A31E5"/>
    <w:rsid w:val="003A4318"/>
    <w:rsid w:val="003A4FEB"/>
    <w:rsid w:val="003A5219"/>
    <w:rsid w:val="003B0ED2"/>
    <w:rsid w:val="003B15B6"/>
    <w:rsid w:val="003B39E7"/>
    <w:rsid w:val="003B62F5"/>
    <w:rsid w:val="003C3580"/>
    <w:rsid w:val="003C5CB6"/>
    <w:rsid w:val="003F1C48"/>
    <w:rsid w:val="00404327"/>
    <w:rsid w:val="00412330"/>
    <w:rsid w:val="00421E8B"/>
    <w:rsid w:val="00427A1B"/>
    <w:rsid w:val="0043595D"/>
    <w:rsid w:val="00441A40"/>
    <w:rsid w:val="00454557"/>
    <w:rsid w:val="00454E1F"/>
    <w:rsid w:val="00465D79"/>
    <w:rsid w:val="00483F3C"/>
    <w:rsid w:val="00484D56"/>
    <w:rsid w:val="00492707"/>
    <w:rsid w:val="004A094C"/>
    <w:rsid w:val="004B0246"/>
    <w:rsid w:val="004C1A82"/>
    <w:rsid w:val="004E188B"/>
    <w:rsid w:val="004E225F"/>
    <w:rsid w:val="005145DE"/>
    <w:rsid w:val="0052040B"/>
    <w:rsid w:val="00544B05"/>
    <w:rsid w:val="00544C47"/>
    <w:rsid w:val="005460BD"/>
    <w:rsid w:val="00563E65"/>
    <w:rsid w:val="00570F61"/>
    <w:rsid w:val="005A6AED"/>
    <w:rsid w:val="005B10BC"/>
    <w:rsid w:val="005D5354"/>
    <w:rsid w:val="005D55D9"/>
    <w:rsid w:val="006044A7"/>
    <w:rsid w:val="00610037"/>
    <w:rsid w:val="00614F2E"/>
    <w:rsid w:val="00615741"/>
    <w:rsid w:val="00621B7C"/>
    <w:rsid w:val="006420EB"/>
    <w:rsid w:val="00646BFC"/>
    <w:rsid w:val="00647DF2"/>
    <w:rsid w:val="00653F1B"/>
    <w:rsid w:val="0065498E"/>
    <w:rsid w:val="00655DD6"/>
    <w:rsid w:val="0065650D"/>
    <w:rsid w:val="00663DF5"/>
    <w:rsid w:val="00677F13"/>
    <w:rsid w:val="006B3A08"/>
    <w:rsid w:val="006B7EA0"/>
    <w:rsid w:val="006C1393"/>
    <w:rsid w:val="006F0C77"/>
    <w:rsid w:val="006F13BE"/>
    <w:rsid w:val="0074275E"/>
    <w:rsid w:val="00746D5A"/>
    <w:rsid w:val="00763560"/>
    <w:rsid w:val="00783FA1"/>
    <w:rsid w:val="0078749C"/>
    <w:rsid w:val="007A0052"/>
    <w:rsid w:val="007A080B"/>
    <w:rsid w:val="007A2456"/>
    <w:rsid w:val="007B48AB"/>
    <w:rsid w:val="007B6273"/>
    <w:rsid w:val="007C4BF7"/>
    <w:rsid w:val="007D3682"/>
    <w:rsid w:val="007E29D2"/>
    <w:rsid w:val="007E37B9"/>
    <w:rsid w:val="007F6C97"/>
    <w:rsid w:val="00815997"/>
    <w:rsid w:val="00822CB4"/>
    <w:rsid w:val="00824533"/>
    <w:rsid w:val="00834CA0"/>
    <w:rsid w:val="00836100"/>
    <w:rsid w:val="00841732"/>
    <w:rsid w:val="00843A53"/>
    <w:rsid w:val="00846903"/>
    <w:rsid w:val="008507BF"/>
    <w:rsid w:val="008513C0"/>
    <w:rsid w:val="00857412"/>
    <w:rsid w:val="00865F52"/>
    <w:rsid w:val="00884EE5"/>
    <w:rsid w:val="00886684"/>
    <w:rsid w:val="008936CB"/>
    <w:rsid w:val="008B7477"/>
    <w:rsid w:val="008C088B"/>
    <w:rsid w:val="008C5A24"/>
    <w:rsid w:val="008D3555"/>
    <w:rsid w:val="008D76BE"/>
    <w:rsid w:val="009215B8"/>
    <w:rsid w:val="009226EF"/>
    <w:rsid w:val="00942D88"/>
    <w:rsid w:val="0095470A"/>
    <w:rsid w:val="0097222A"/>
    <w:rsid w:val="00973610"/>
    <w:rsid w:val="00975F76"/>
    <w:rsid w:val="0098055B"/>
    <w:rsid w:val="00984187"/>
    <w:rsid w:val="009842A3"/>
    <w:rsid w:val="00993901"/>
    <w:rsid w:val="00994455"/>
    <w:rsid w:val="0099633C"/>
    <w:rsid w:val="009A148D"/>
    <w:rsid w:val="009A1C1C"/>
    <w:rsid w:val="009C192B"/>
    <w:rsid w:val="009C598F"/>
    <w:rsid w:val="009C785C"/>
    <w:rsid w:val="009D56AE"/>
    <w:rsid w:val="009D71FE"/>
    <w:rsid w:val="009E26F4"/>
    <w:rsid w:val="009F6C82"/>
    <w:rsid w:val="00A01D51"/>
    <w:rsid w:val="00A0248C"/>
    <w:rsid w:val="00A10303"/>
    <w:rsid w:val="00A21305"/>
    <w:rsid w:val="00A22D7D"/>
    <w:rsid w:val="00A426E5"/>
    <w:rsid w:val="00A42B88"/>
    <w:rsid w:val="00A67DDB"/>
    <w:rsid w:val="00A7549B"/>
    <w:rsid w:val="00A77B3E"/>
    <w:rsid w:val="00A81B57"/>
    <w:rsid w:val="00AA32F1"/>
    <w:rsid w:val="00AA3543"/>
    <w:rsid w:val="00AA7F3C"/>
    <w:rsid w:val="00AB4097"/>
    <w:rsid w:val="00AB6415"/>
    <w:rsid w:val="00AB691A"/>
    <w:rsid w:val="00AE0400"/>
    <w:rsid w:val="00AE126A"/>
    <w:rsid w:val="00AF3818"/>
    <w:rsid w:val="00B023F6"/>
    <w:rsid w:val="00B100D9"/>
    <w:rsid w:val="00B14A2B"/>
    <w:rsid w:val="00B16FAF"/>
    <w:rsid w:val="00B376AB"/>
    <w:rsid w:val="00B5431C"/>
    <w:rsid w:val="00B54B82"/>
    <w:rsid w:val="00B60798"/>
    <w:rsid w:val="00B7384A"/>
    <w:rsid w:val="00B73B0D"/>
    <w:rsid w:val="00B8209E"/>
    <w:rsid w:val="00B841CE"/>
    <w:rsid w:val="00B911AB"/>
    <w:rsid w:val="00B93DFF"/>
    <w:rsid w:val="00B9457C"/>
    <w:rsid w:val="00BA2591"/>
    <w:rsid w:val="00BA39E7"/>
    <w:rsid w:val="00BA690B"/>
    <w:rsid w:val="00BB51B5"/>
    <w:rsid w:val="00BB7973"/>
    <w:rsid w:val="00C23B74"/>
    <w:rsid w:val="00C37458"/>
    <w:rsid w:val="00C5560F"/>
    <w:rsid w:val="00C77786"/>
    <w:rsid w:val="00C86261"/>
    <w:rsid w:val="00C87643"/>
    <w:rsid w:val="00C87E68"/>
    <w:rsid w:val="00C917AF"/>
    <w:rsid w:val="00CA4E68"/>
    <w:rsid w:val="00D04C3C"/>
    <w:rsid w:val="00D23593"/>
    <w:rsid w:val="00D30AED"/>
    <w:rsid w:val="00D365F4"/>
    <w:rsid w:val="00D43AD6"/>
    <w:rsid w:val="00D571CC"/>
    <w:rsid w:val="00D639E2"/>
    <w:rsid w:val="00D778F7"/>
    <w:rsid w:val="00D9037D"/>
    <w:rsid w:val="00DA2CC2"/>
    <w:rsid w:val="00DB1B1D"/>
    <w:rsid w:val="00DB2BDA"/>
    <w:rsid w:val="00DC0668"/>
    <w:rsid w:val="00DC6575"/>
    <w:rsid w:val="00DC7DF3"/>
    <w:rsid w:val="00DE0D8F"/>
    <w:rsid w:val="00DF344F"/>
    <w:rsid w:val="00DF4E1D"/>
    <w:rsid w:val="00DF6C0C"/>
    <w:rsid w:val="00E05220"/>
    <w:rsid w:val="00E1297B"/>
    <w:rsid w:val="00E12AA1"/>
    <w:rsid w:val="00E37A94"/>
    <w:rsid w:val="00E464F5"/>
    <w:rsid w:val="00E46B3F"/>
    <w:rsid w:val="00E5098A"/>
    <w:rsid w:val="00E83C46"/>
    <w:rsid w:val="00E868D5"/>
    <w:rsid w:val="00EB063D"/>
    <w:rsid w:val="00EB1E21"/>
    <w:rsid w:val="00EE3C32"/>
    <w:rsid w:val="00EE43D6"/>
    <w:rsid w:val="00EF330D"/>
    <w:rsid w:val="00EF5B25"/>
    <w:rsid w:val="00F006A8"/>
    <w:rsid w:val="00F04C7F"/>
    <w:rsid w:val="00F23F06"/>
    <w:rsid w:val="00F422FB"/>
    <w:rsid w:val="00F464FC"/>
    <w:rsid w:val="00F476DC"/>
    <w:rsid w:val="00F67717"/>
    <w:rsid w:val="00F80D0C"/>
    <w:rsid w:val="00F90287"/>
    <w:rsid w:val="00FA4D20"/>
    <w:rsid w:val="00FB1B51"/>
    <w:rsid w:val="00FD0C52"/>
    <w:rsid w:val="00FE6365"/>
    <w:rsid w:val="00FF53BF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D5F8BD7"/>
  <w15:chartTrackingRefBased/>
  <w15:docId w15:val="{F32CE2E1-C4C2-4452-8221-22BE2ABA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1598"/>
    <w:rPr>
      <w:color w:val="000000"/>
      <w:sz w:val="22"/>
      <w:szCs w:val="22"/>
    </w:rPr>
  </w:style>
  <w:style w:type="paragraph" w:styleId="Rubrik1">
    <w:name w:val="heading 1"/>
    <w:basedOn w:val="Normal"/>
    <w:next w:val="Normal"/>
    <w:qFormat/>
    <w:rsid w:val="00EF7B96"/>
    <w:pPr>
      <w:outlineLvl w:val="0"/>
    </w:pPr>
    <w:rPr>
      <w:b/>
      <w:bCs/>
      <w:sz w:val="36"/>
      <w:szCs w:val="36"/>
    </w:rPr>
  </w:style>
  <w:style w:type="paragraph" w:styleId="Rubrik2">
    <w:name w:val="heading 2"/>
    <w:basedOn w:val="Normal"/>
    <w:next w:val="Normal"/>
    <w:link w:val="Rubrik2Char"/>
    <w:qFormat/>
    <w:rsid w:val="00EF7B96"/>
    <w:pPr>
      <w:spacing w:before="280" w:after="80"/>
      <w:outlineLvl w:val="1"/>
    </w:pPr>
    <w:rPr>
      <w:b/>
      <w:bCs/>
      <w:sz w:val="28"/>
      <w:szCs w:val="28"/>
    </w:rPr>
  </w:style>
  <w:style w:type="paragraph" w:styleId="Rubrik3">
    <w:name w:val="heading 3"/>
    <w:basedOn w:val="Normal"/>
    <w:next w:val="Normal"/>
    <w:rsid w:val="00EF7B96"/>
    <w:pPr>
      <w:spacing w:before="280" w:after="80"/>
      <w:outlineLvl w:val="2"/>
    </w:pPr>
    <w:rPr>
      <w:b/>
      <w:bCs/>
      <w:sz w:val="24"/>
      <w:szCs w:val="24"/>
    </w:rPr>
  </w:style>
  <w:style w:type="paragraph" w:styleId="Rubrik4">
    <w:name w:val="heading 4"/>
    <w:basedOn w:val="Normal"/>
    <w:next w:val="Normal"/>
    <w:qFormat/>
    <w:rsid w:val="00EF7B96"/>
    <w:pPr>
      <w:spacing w:before="240" w:after="40"/>
      <w:outlineLvl w:val="3"/>
    </w:pPr>
    <w:rPr>
      <w:b/>
      <w:bCs/>
      <w:sz w:val="24"/>
      <w:szCs w:val="24"/>
    </w:rPr>
  </w:style>
  <w:style w:type="paragraph" w:styleId="Rubrik5">
    <w:name w:val="heading 5"/>
    <w:basedOn w:val="Normal"/>
    <w:next w:val="Normal"/>
    <w:qFormat/>
    <w:rsid w:val="00EF7B96"/>
    <w:pPr>
      <w:spacing w:before="220" w:after="40"/>
      <w:outlineLvl w:val="4"/>
    </w:pPr>
    <w:rPr>
      <w:b/>
      <w:bCs/>
    </w:rPr>
  </w:style>
  <w:style w:type="paragraph" w:styleId="Rubrik6">
    <w:name w:val="heading 6"/>
    <w:basedOn w:val="Normal"/>
    <w:next w:val="Normal"/>
    <w:qFormat/>
    <w:rsid w:val="00EF7B96"/>
    <w:pPr>
      <w:spacing w:before="200" w:after="40"/>
      <w:outlineLvl w:val="5"/>
    </w:pPr>
    <w:rPr>
      <w:b/>
      <w:b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rsid w:val="00EF7B96"/>
    <w:pPr>
      <w:spacing w:before="480" w:after="120"/>
    </w:pPr>
    <w:rPr>
      <w:b/>
      <w:bCs/>
      <w:sz w:val="48"/>
      <w:szCs w:val="48"/>
    </w:rPr>
  </w:style>
  <w:style w:type="paragraph" w:styleId="Underrubrik">
    <w:name w:val="Subtitle"/>
    <w:basedOn w:val="Normal"/>
    <w:qFormat/>
    <w:rsid w:val="00EF7B96"/>
    <w:rPr>
      <w:b/>
      <w:bCs/>
      <w:i/>
      <w:iCs/>
      <w:color w:val="999999"/>
      <w:sz w:val="36"/>
      <w:szCs w:val="36"/>
    </w:rPr>
  </w:style>
  <w:style w:type="paragraph" w:styleId="Sidhuvud">
    <w:name w:val="header"/>
    <w:basedOn w:val="Normal"/>
    <w:link w:val="SidhuvudChar"/>
    <w:uiPriority w:val="99"/>
    <w:rsid w:val="005B10B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5B10BC"/>
    <w:rPr>
      <w:color w:val="000000"/>
      <w:sz w:val="22"/>
      <w:szCs w:val="22"/>
    </w:rPr>
  </w:style>
  <w:style w:type="paragraph" w:styleId="Sidfot">
    <w:name w:val="footer"/>
    <w:basedOn w:val="Normal"/>
    <w:link w:val="SidfotChar"/>
    <w:uiPriority w:val="99"/>
    <w:rsid w:val="005B10BC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5B10BC"/>
    <w:rPr>
      <w:color w:val="000000"/>
      <w:sz w:val="22"/>
      <w:szCs w:val="22"/>
    </w:rPr>
  </w:style>
  <w:style w:type="paragraph" w:customStyle="1" w:styleId="creo-normal">
    <w:name w:val="creo-normal"/>
    <w:basedOn w:val="Normal"/>
    <w:rsid w:val="002B54D2"/>
    <w:rPr>
      <w:color w:val="auto"/>
      <w:sz w:val="24"/>
      <w:szCs w:val="24"/>
    </w:rPr>
  </w:style>
  <w:style w:type="table" w:styleId="Tabellrutnt">
    <w:name w:val="Table Grid"/>
    <w:basedOn w:val="Normaltabell"/>
    <w:rsid w:val="007E2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lista-dekorfrg3">
    <w:name w:val="Light List Accent 3"/>
    <w:basedOn w:val="Normaltabell"/>
    <w:uiPriority w:val="61"/>
    <w:rsid w:val="00783F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justrutnt-dekorfrg3">
    <w:name w:val="Light Grid Accent 3"/>
    <w:basedOn w:val="Normaltabell"/>
    <w:uiPriority w:val="62"/>
    <w:rsid w:val="00783F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jusskuggning-dekorfrg3">
    <w:name w:val="Light Shading Accent 3"/>
    <w:basedOn w:val="Normaltabell"/>
    <w:uiPriority w:val="60"/>
    <w:rsid w:val="00783FA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Ballongtext">
    <w:name w:val="Balloon Text"/>
    <w:basedOn w:val="Normal"/>
    <w:link w:val="BallongtextChar"/>
    <w:rsid w:val="0074275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4275E"/>
    <w:rPr>
      <w:rFonts w:ascii="Tahoma" w:hAnsi="Tahoma" w:cs="Tahoma"/>
      <w:color w:val="000000"/>
      <w:sz w:val="16"/>
      <w:szCs w:val="16"/>
    </w:rPr>
  </w:style>
  <w:style w:type="character" w:customStyle="1" w:styleId="Rubrik2Char">
    <w:name w:val="Rubrik 2 Char"/>
    <w:link w:val="Rubrik2"/>
    <w:rsid w:val="00942D88"/>
    <w:rPr>
      <w:b/>
      <w:bCs/>
      <w:color w:val="000000"/>
      <w:sz w:val="28"/>
      <w:szCs w:val="28"/>
    </w:rPr>
  </w:style>
  <w:style w:type="table" w:styleId="Enkeltabell1">
    <w:name w:val="Table Simple 1"/>
    <w:basedOn w:val="Normaltabell"/>
    <w:rsid w:val="00E1297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stycke">
    <w:name w:val="List Paragraph"/>
    <w:basedOn w:val="Normal"/>
    <w:uiPriority w:val="34"/>
    <w:qFormat/>
    <w:rsid w:val="00A21305"/>
    <w:pPr>
      <w:spacing w:before="100"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0"/>
      <w:szCs w:val="20"/>
      <w:lang w:eastAsia="en-US"/>
    </w:rPr>
  </w:style>
  <w:style w:type="character" w:styleId="Kommentarsreferens">
    <w:name w:val="annotation reference"/>
    <w:basedOn w:val="Standardstycketeckensnitt"/>
    <w:uiPriority w:val="99"/>
    <w:unhideWhenUsed/>
    <w:rsid w:val="00A2130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A21305"/>
    <w:pPr>
      <w:spacing w:before="100" w:after="200"/>
    </w:pPr>
    <w:rPr>
      <w:rFonts w:asciiTheme="minorHAnsi" w:eastAsiaTheme="minorEastAsia" w:hAnsiTheme="minorHAnsi" w:cstheme="minorBidi"/>
      <w:color w:val="auto"/>
      <w:sz w:val="20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A21305"/>
    <w:rPr>
      <w:rFonts w:asciiTheme="minorHAnsi" w:eastAsiaTheme="minorEastAsia" w:hAnsiTheme="minorHAnsi" w:cstheme="minorBidi"/>
      <w:lang w:eastAsia="en-US"/>
    </w:rPr>
  </w:style>
  <w:style w:type="table" w:styleId="Mellanmrktrutnt2-dekorfrg3">
    <w:name w:val="Medium Grid 2 Accent 3"/>
    <w:basedOn w:val="Normaltabell"/>
    <w:uiPriority w:val="68"/>
    <w:rsid w:val="00107B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Fotnotstext">
    <w:name w:val="footnote text"/>
    <w:basedOn w:val="Normal"/>
    <w:link w:val="FotnotstextChar"/>
    <w:uiPriority w:val="99"/>
    <w:rsid w:val="00EF330D"/>
    <w:pPr>
      <w:spacing w:before="100" w:after="200"/>
    </w:pPr>
    <w:rPr>
      <w:rFonts w:asciiTheme="minorHAnsi" w:eastAsiaTheme="minorEastAsia" w:hAnsiTheme="minorHAnsi" w:cstheme="minorBidi"/>
      <w:color w:val="auto"/>
      <w:sz w:val="20"/>
      <w:szCs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EF330D"/>
    <w:rPr>
      <w:rFonts w:asciiTheme="minorHAnsi" w:eastAsiaTheme="minorEastAsia" w:hAnsiTheme="minorHAnsi" w:cstheme="minorBidi"/>
      <w:lang w:eastAsia="en-US"/>
    </w:rPr>
  </w:style>
  <w:style w:type="paragraph" w:styleId="Normalwebb">
    <w:name w:val="Normal (Web)"/>
    <w:basedOn w:val="Normal"/>
    <w:uiPriority w:val="99"/>
    <w:unhideWhenUsed/>
    <w:rsid w:val="00EF330D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BA2591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Innehll1">
    <w:name w:val="toc 1"/>
    <w:basedOn w:val="Normal"/>
    <w:next w:val="Normal"/>
    <w:autoRedefine/>
    <w:uiPriority w:val="39"/>
    <w:rsid w:val="00BA2591"/>
    <w:pPr>
      <w:spacing w:after="100"/>
    </w:pPr>
  </w:style>
  <w:style w:type="paragraph" w:styleId="Innehll2">
    <w:name w:val="toc 2"/>
    <w:basedOn w:val="Normal"/>
    <w:next w:val="Normal"/>
    <w:autoRedefine/>
    <w:uiPriority w:val="39"/>
    <w:rsid w:val="00BA2591"/>
    <w:pPr>
      <w:spacing w:after="100"/>
      <w:ind w:left="220"/>
    </w:pPr>
  </w:style>
  <w:style w:type="character" w:styleId="Hyperlnk">
    <w:name w:val="Hyperlink"/>
    <w:basedOn w:val="Standardstycketeckensnitt"/>
    <w:uiPriority w:val="99"/>
    <w:unhideWhenUsed/>
    <w:rsid w:val="00BA2591"/>
    <w:rPr>
      <w:color w:val="0563C1" w:themeColor="hyperlink"/>
      <w:u w:val="single"/>
    </w:rPr>
  </w:style>
  <w:style w:type="paragraph" w:styleId="Innehll3">
    <w:name w:val="toc 3"/>
    <w:basedOn w:val="Normal"/>
    <w:next w:val="Normal"/>
    <w:autoRedefine/>
    <w:uiPriority w:val="39"/>
    <w:unhideWhenUsed/>
    <w:rsid w:val="00BA2591"/>
    <w:pPr>
      <w:spacing w:after="100" w:line="259" w:lineRule="auto"/>
      <w:ind w:left="440"/>
    </w:pPr>
    <w:rPr>
      <w:rFonts w:asciiTheme="minorHAnsi" w:eastAsiaTheme="minorEastAsia" w:hAnsiTheme="minorHAnsi"/>
      <w:color w:val="auto"/>
    </w:rPr>
  </w:style>
  <w:style w:type="paragraph" w:customStyle="1" w:styleId="Default">
    <w:name w:val="Default"/>
    <w:rsid w:val="007E37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Rutntstabell1ljus">
    <w:name w:val="Grid Table 1 Light"/>
    <w:basedOn w:val="Normaltabell"/>
    <w:uiPriority w:val="46"/>
    <w:rsid w:val="00C5560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DA57E-BABE-47DC-9E6C-5880E9DC4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907</Words>
  <Characters>5946</Characters>
  <Application>Microsoft Office Word</Application>
  <DocSecurity>0</DocSecurity>
  <Lines>49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Haninge kommun</Company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cp:lastModifiedBy>Cecilia Hellstadius</cp:lastModifiedBy>
  <cp:revision>2</cp:revision>
  <cp:lastPrinted>2016-10-06T06:12:00Z</cp:lastPrinted>
  <dcterms:created xsi:type="dcterms:W3CDTF">2022-09-29T08:48:00Z</dcterms:created>
  <dcterms:modified xsi:type="dcterms:W3CDTF">2022-09-29T08:48:00Z</dcterms:modified>
</cp:coreProperties>
</file>