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E14B" w14:textId="46B64C44" w:rsidR="002F131B" w:rsidRPr="00DE4DCB" w:rsidRDefault="00101877">
      <w:pPr>
        <w:rPr>
          <w:rFonts w:asciiTheme="majorHAnsi" w:hAnsiTheme="majorHAnsi" w:cstheme="majorHAnsi"/>
          <w:b/>
          <w:bCs/>
          <w:sz w:val="36"/>
          <w:szCs w:val="36"/>
          <w:u w:val="single"/>
        </w:rPr>
      </w:pPr>
      <w:r w:rsidRPr="00DE4DCB">
        <w:rPr>
          <w:rFonts w:asciiTheme="majorHAnsi" w:hAnsiTheme="majorHAnsi" w:cstheme="majorHAnsi"/>
          <w:b/>
          <w:bCs/>
          <w:sz w:val="36"/>
          <w:szCs w:val="36"/>
          <w:u w:val="single"/>
        </w:rPr>
        <w:t xml:space="preserve">Överklagande </w:t>
      </w:r>
    </w:p>
    <w:p w14:paraId="54E83CD4" w14:textId="50A1B6B3" w:rsidR="00F374DE" w:rsidRPr="00DE4DCB" w:rsidRDefault="00AE5FBA">
      <w:pPr>
        <w:rPr>
          <w:rFonts w:asciiTheme="majorHAnsi" w:hAnsiTheme="majorHAnsi" w:cstheme="majorHAnsi"/>
          <w:sz w:val="24"/>
          <w:szCs w:val="24"/>
        </w:rPr>
      </w:pPr>
      <w:r w:rsidRPr="00DE4DCB">
        <w:rPr>
          <w:rFonts w:asciiTheme="majorHAnsi" w:hAnsiTheme="majorHAnsi" w:cstheme="majorHAnsi"/>
          <w:sz w:val="24"/>
          <w:szCs w:val="24"/>
        </w:rPr>
        <w:t>Politiska b</w:t>
      </w:r>
      <w:r w:rsidR="00737C50" w:rsidRPr="00DE4DCB">
        <w:rPr>
          <w:rFonts w:asciiTheme="majorHAnsi" w:hAnsiTheme="majorHAnsi" w:cstheme="majorHAnsi"/>
          <w:sz w:val="24"/>
          <w:szCs w:val="24"/>
        </w:rPr>
        <w:t xml:space="preserve">eslut </w:t>
      </w:r>
      <w:r w:rsidRPr="00DE4DCB">
        <w:rPr>
          <w:rFonts w:asciiTheme="majorHAnsi" w:hAnsiTheme="majorHAnsi" w:cstheme="majorHAnsi"/>
          <w:sz w:val="24"/>
          <w:szCs w:val="24"/>
        </w:rPr>
        <w:t xml:space="preserve">av nämnd eller fullmäktige som inte är rent förberedande eller rent verkställande kan </w:t>
      </w:r>
      <w:r w:rsidR="00737C50" w:rsidRPr="00DE4DCB">
        <w:rPr>
          <w:rFonts w:asciiTheme="majorHAnsi" w:hAnsiTheme="majorHAnsi" w:cstheme="majorHAnsi"/>
          <w:sz w:val="24"/>
          <w:szCs w:val="24"/>
        </w:rPr>
        <w:t xml:space="preserve">överklagas med </w:t>
      </w:r>
      <w:r w:rsidR="00737C50" w:rsidRPr="00DE4DCB">
        <w:rPr>
          <w:rFonts w:asciiTheme="majorHAnsi" w:hAnsiTheme="majorHAnsi" w:cstheme="majorHAnsi"/>
          <w:b/>
          <w:bCs/>
          <w:sz w:val="24"/>
          <w:szCs w:val="24"/>
        </w:rPr>
        <w:t>laglighetsprövning</w:t>
      </w:r>
      <w:r w:rsidR="00737C50" w:rsidRPr="00DE4DCB">
        <w:rPr>
          <w:rFonts w:asciiTheme="majorHAnsi" w:hAnsiTheme="majorHAnsi" w:cstheme="majorHAnsi"/>
          <w:sz w:val="24"/>
          <w:szCs w:val="24"/>
        </w:rPr>
        <w:t xml:space="preserve"> om det inte finns särskilda bestämmelser om överklagande i den aktuella lagstiftningen.</w:t>
      </w:r>
      <w:r w:rsidRPr="00DE4DC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BADE9CB" w14:textId="7374441A" w:rsidR="00737C50" w:rsidRPr="00DE4DCB" w:rsidRDefault="00737C50">
      <w:pPr>
        <w:rPr>
          <w:rFonts w:asciiTheme="majorHAnsi" w:hAnsiTheme="majorHAnsi" w:cstheme="majorHAnsi"/>
          <w:sz w:val="24"/>
          <w:szCs w:val="24"/>
        </w:rPr>
      </w:pPr>
      <w:r w:rsidRPr="00DE4DCB">
        <w:rPr>
          <w:rFonts w:asciiTheme="majorHAnsi" w:hAnsiTheme="majorHAnsi" w:cstheme="majorHAnsi"/>
          <w:b/>
          <w:bCs/>
          <w:sz w:val="24"/>
          <w:szCs w:val="24"/>
        </w:rPr>
        <w:t>Förvaltningsbesvär</w:t>
      </w:r>
      <w:r w:rsidRPr="00DE4DCB">
        <w:rPr>
          <w:rFonts w:asciiTheme="majorHAnsi" w:hAnsiTheme="majorHAnsi" w:cstheme="majorHAnsi"/>
          <w:sz w:val="24"/>
          <w:szCs w:val="24"/>
        </w:rPr>
        <w:t xml:space="preserve"> </w:t>
      </w:r>
      <w:r w:rsidR="00AE5FBA" w:rsidRPr="00DE4DCB">
        <w:rPr>
          <w:rFonts w:asciiTheme="majorHAnsi" w:hAnsiTheme="majorHAnsi" w:cstheme="majorHAnsi"/>
          <w:sz w:val="24"/>
          <w:szCs w:val="24"/>
        </w:rPr>
        <w:t xml:space="preserve">är när </w:t>
      </w:r>
      <w:r w:rsidRPr="00DE4DCB">
        <w:rPr>
          <w:rFonts w:asciiTheme="majorHAnsi" w:hAnsiTheme="majorHAnsi" w:cstheme="majorHAnsi"/>
          <w:sz w:val="24"/>
          <w:szCs w:val="24"/>
        </w:rPr>
        <w:t xml:space="preserve">överklagandet </w:t>
      </w:r>
      <w:r w:rsidR="00AE5FBA" w:rsidRPr="00DE4DCB">
        <w:rPr>
          <w:rFonts w:asciiTheme="majorHAnsi" w:hAnsiTheme="majorHAnsi" w:cstheme="majorHAnsi"/>
          <w:sz w:val="24"/>
          <w:szCs w:val="24"/>
        </w:rPr>
        <w:t>i</w:t>
      </w:r>
      <w:r w:rsidR="00DE4DCB" w:rsidRPr="00DE4DCB">
        <w:rPr>
          <w:rFonts w:asciiTheme="majorHAnsi" w:hAnsiTheme="majorHAnsi" w:cstheme="majorHAnsi"/>
          <w:sz w:val="24"/>
          <w:szCs w:val="24"/>
        </w:rPr>
        <w:t xml:space="preserve"> </w:t>
      </w:r>
      <w:r w:rsidR="00AE5FBA" w:rsidRPr="00DE4DCB">
        <w:rPr>
          <w:rFonts w:asciiTheme="majorHAnsi" w:hAnsiTheme="majorHAnsi" w:cstheme="majorHAnsi"/>
          <w:sz w:val="24"/>
          <w:szCs w:val="24"/>
        </w:rPr>
        <w:t xml:space="preserve">stället </w:t>
      </w:r>
      <w:r w:rsidRPr="00DE4DCB">
        <w:rPr>
          <w:rFonts w:asciiTheme="majorHAnsi" w:hAnsiTheme="majorHAnsi" w:cstheme="majorHAnsi"/>
          <w:sz w:val="24"/>
          <w:szCs w:val="24"/>
        </w:rPr>
        <w:t xml:space="preserve">görs i enlighet med bestämmelserna för överklagande i den aktuella lagstiftningen. Bestämmelserna </w:t>
      </w:r>
      <w:r w:rsidR="00AE5FBA" w:rsidRPr="00DE4DCB">
        <w:rPr>
          <w:rFonts w:asciiTheme="majorHAnsi" w:hAnsiTheme="majorHAnsi" w:cstheme="majorHAnsi"/>
          <w:sz w:val="24"/>
          <w:szCs w:val="24"/>
        </w:rPr>
        <w:t xml:space="preserve">i den aktuella lagstiftningen </w:t>
      </w:r>
      <w:r w:rsidRPr="00DE4DCB">
        <w:rPr>
          <w:rFonts w:asciiTheme="majorHAnsi" w:hAnsiTheme="majorHAnsi" w:cstheme="majorHAnsi"/>
          <w:i/>
          <w:iCs/>
          <w:sz w:val="24"/>
          <w:szCs w:val="24"/>
        </w:rPr>
        <w:t>kompletteras</w:t>
      </w:r>
      <w:r w:rsidRPr="00DE4DCB">
        <w:rPr>
          <w:rFonts w:asciiTheme="majorHAnsi" w:hAnsiTheme="majorHAnsi" w:cstheme="majorHAnsi"/>
          <w:sz w:val="24"/>
          <w:szCs w:val="24"/>
        </w:rPr>
        <w:t xml:space="preserve"> med de generella bestämmelserna för överklagande som finns i förvaltningslagen</w:t>
      </w:r>
      <w:r w:rsidR="00AE5FBA" w:rsidRPr="00DE4DCB">
        <w:rPr>
          <w:rFonts w:asciiTheme="majorHAnsi" w:hAnsiTheme="majorHAnsi" w:cstheme="majorHAnsi"/>
          <w:sz w:val="24"/>
          <w:szCs w:val="24"/>
        </w:rPr>
        <w:t xml:space="preserve">. Förvaltningslagen gäller </w:t>
      </w:r>
      <w:r w:rsidRPr="00DE4DCB">
        <w:rPr>
          <w:rFonts w:asciiTheme="majorHAnsi" w:hAnsiTheme="majorHAnsi" w:cstheme="majorHAnsi"/>
          <w:sz w:val="24"/>
          <w:szCs w:val="24"/>
        </w:rPr>
        <w:t xml:space="preserve">i de delar som </w:t>
      </w:r>
      <w:r w:rsidR="00AE5FBA" w:rsidRPr="00DE4DCB">
        <w:rPr>
          <w:rFonts w:asciiTheme="majorHAnsi" w:hAnsiTheme="majorHAnsi" w:cstheme="majorHAnsi"/>
          <w:sz w:val="24"/>
          <w:szCs w:val="24"/>
        </w:rPr>
        <w:t xml:space="preserve">det inte finns avvikande bestämmelser i </w:t>
      </w:r>
      <w:r w:rsidR="009B4559" w:rsidRPr="00DE4DCB">
        <w:rPr>
          <w:rFonts w:asciiTheme="majorHAnsi" w:hAnsiTheme="majorHAnsi" w:cstheme="majorHAnsi"/>
          <w:sz w:val="24"/>
          <w:szCs w:val="24"/>
        </w:rPr>
        <w:t>den aktuella lagstiftningen.</w:t>
      </w:r>
      <w:r w:rsidR="00AE5FBA" w:rsidRPr="00DE4DC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8B79558" w14:textId="77E6FC91" w:rsidR="00AE5FBA" w:rsidRPr="00DE4DCB" w:rsidRDefault="00AE5FBA">
      <w:pPr>
        <w:rPr>
          <w:rFonts w:asciiTheme="majorHAnsi" w:hAnsiTheme="majorHAnsi" w:cstheme="majorHAnsi"/>
          <w:sz w:val="24"/>
          <w:szCs w:val="24"/>
        </w:rPr>
      </w:pPr>
      <w:r w:rsidRPr="00DE4DCB">
        <w:rPr>
          <w:rFonts w:asciiTheme="majorHAnsi" w:hAnsiTheme="majorHAnsi" w:cstheme="majorHAnsi"/>
          <w:sz w:val="24"/>
          <w:szCs w:val="24"/>
        </w:rPr>
        <w:t xml:space="preserve">Exempel på </w:t>
      </w:r>
      <w:r w:rsidR="007D18C6" w:rsidRPr="00DE4DCB">
        <w:rPr>
          <w:rFonts w:asciiTheme="majorHAnsi" w:hAnsiTheme="majorHAnsi" w:cstheme="majorHAnsi"/>
          <w:sz w:val="24"/>
          <w:szCs w:val="24"/>
        </w:rPr>
        <w:t xml:space="preserve">lagstiftning där det finns speciella bestämmelser om överklagande är plan och bygglagen och socialtjänstlagen. </w:t>
      </w:r>
      <w:r w:rsidR="00DE4DCB" w:rsidRPr="00DE4DCB">
        <w:rPr>
          <w:rFonts w:asciiTheme="majorHAnsi" w:hAnsiTheme="majorHAnsi" w:cstheme="majorHAnsi"/>
          <w:sz w:val="24"/>
          <w:szCs w:val="24"/>
        </w:rPr>
        <w:t xml:space="preserve">Bestämmelserna är ofta inte heltäckande kring allt formellt utan de reglerar exempelvis vilka beslut som får överklagas och till vilken instans. </w:t>
      </w:r>
    </w:p>
    <w:p w14:paraId="7EE5A41E" w14:textId="77777777" w:rsidR="00AE5FBA" w:rsidRPr="009B4559" w:rsidRDefault="00AE5FBA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A" w:rsidRPr="00DE4DCB" w14:paraId="7F2FF613" w14:textId="77777777" w:rsidTr="00AE5FBA">
        <w:tc>
          <w:tcPr>
            <w:tcW w:w="4531" w:type="dxa"/>
          </w:tcPr>
          <w:p w14:paraId="364DBCC3" w14:textId="5D71F26B" w:rsidR="00AE5FBA" w:rsidRPr="00DE4DCB" w:rsidRDefault="00AE5FBA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DE4DCB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Laglighetsprövning </w:t>
            </w:r>
          </w:p>
        </w:tc>
        <w:tc>
          <w:tcPr>
            <w:tcW w:w="4531" w:type="dxa"/>
          </w:tcPr>
          <w:p w14:paraId="6EA406E7" w14:textId="77777777" w:rsidR="007D18C6" w:rsidRPr="00DE4DCB" w:rsidRDefault="00AE5FBA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DE4DCB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Förvaltningsbesvär</w:t>
            </w:r>
          </w:p>
          <w:p w14:paraId="5604396A" w14:textId="77777777" w:rsidR="007D18C6" w:rsidRPr="00DE4DCB" w:rsidRDefault="007D18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363D264" w14:textId="79CA03E4" w:rsidR="00AE5FBA" w:rsidRPr="00DE4DCB" w:rsidRDefault="009B455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4DCB">
              <w:rPr>
                <w:rFonts w:asciiTheme="majorHAnsi" w:hAnsiTheme="majorHAnsi" w:cstheme="majorHAnsi"/>
                <w:sz w:val="24"/>
                <w:szCs w:val="24"/>
              </w:rPr>
              <w:t xml:space="preserve">(nedan enligt förvaltningslagen kan vara annorlunda i speciallagstiftning) </w:t>
            </w:r>
          </w:p>
          <w:p w14:paraId="2D4E6B07" w14:textId="77777777" w:rsidR="007D18C6" w:rsidRPr="00DE4DCB" w:rsidRDefault="007D18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F4F45A7" w14:textId="09275F01" w:rsidR="007D18C6" w:rsidRPr="00DE4DCB" w:rsidRDefault="007D18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5FBA" w:rsidRPr="00DE4DCB" w14:paraId="7A242EEE" w14:textId="77777777" w:rsidTr="00AE5FBA">
        <w:tc>
          <w:tcPr>
            <w:tcW w:w="4531" w:type="dxa"/>
          </w:tcPr>
          <w:p w14:paraId="64806319" w14:textId="62CBF53D" w:rsidR="00AE5FBA" w:rsidRPr="00DE4DCB" w:rsidRDefault="00AE5F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4DCB">
              <w:rPr>
                <w:rFonts w:asciiTheme="majorHAnsi" w:hAnsiTheme="majorHAnsi" w:cstheme="majorHAnsi"/>
                <w:sz w:val="24"/>
                <w:szCs w:val="24"/>
              </w:rPr>
              <w:t xml:space="preserve">Alla Kommunmedlemmar </w:t>
            </w:r>
          </w:p>
        </w:tc>
        <w:tc>
          <w:tcPr>
            <w:tcW w:w="4531" w:type="dxa"/>
          </w:tcPr>
          <w:p w14:paraId="2A2C2A45" w14:textId="77777777" w:rsidR="007D18C6" w:rsidRPr="00DE4DCB" w:rsidRDefault="007D1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4DCB">
              <w:rPr>
                <w:rFonts w:asciiTheme="majorHAnsi" w:hAnsiTheme="majorHAnsi" w:cstheme="majorHAnsi"/>
                <w:sz w:val="24"/>
                <w:szCs w:val="24"/>
              </w:rPr>
              <w:t xml:space="preserve">Den som beslutet angår och som det har gått emot. </w:t>
            </w:r>
          </w:p>
          <w:p w14:paraId="4748470A" w14:textId="18E65A36" w:rsidR="00AE5FBA" w:rsidRPr="00DE4DCB" w:rsidRDefault="007D1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4DCB">
              <w:rPr>
                <w:rFonts w:asciiTheme="majorHAnsi" w:hAnsiTheme="majorHAnsi" w:cstheme="majorHAnsi"/>
                <w:sz w:val="24"/>
                <w:szCs w:val="24"/>
              </w:rPr>
              <w:t xml:space="preserve">Krävs att den klagandes </w:t>
            </w:r>
            <w:r w:rsidR="009B4559" w:rsidRPr="00DE4DCB">
              <w:rPr>
                <w:rFonts w:asciiTheme="majorHAnsi" w:hAnsiTheme="majorHAnsi" w:cstheme="majorHAnsi"/>
                <w:sz w:val="24"/>
                <w:szCs w:val="24"/>
              </w:rPr>
              <w:t xml:space="preserve">situation påverkas på ett inte obetydligt sätt </w:t>
            </w:r>
          </w:p>
          <w:p w14:paraId="2C66ADBE" w14:textId="5B8BB02B" w:rsidR="007D18C6" w:rsidRPr="00DE4DCB" w:rsidRDefault="007D18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D18C6" w:rsidRPr="00DE4DCB" w14:paraId="4720C662" w14:textId="77777777" w:rsidTr="00AE5FBA">
        <w:tc>
          <w:tcPr>
            <w:tcW w:w="4531" w:type="dxa"/>
          </w:tcPr>
          <w:p w14:paraId="2127BE41" w14:textId="77777777" w:rsidR="007D18C6" w:rsidRPr="00DE4DCB" w:rsidRDefault="007D1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4DCB">
              <w:rPr>
                <w:rFonts w:asciiTheme="majorHAnsi" w:hAnsiTheme="majorHAnsi" w:cstheme="majorHAnsi"/>
                <w:sz w:val="24"/>
                <w:szCs w:val="24"/>
              </w:rPr>
              <w:t xml:space="preserve">Domstolen kan upphäva beslutet men inte ersätta det. </w:t>
            </w:r>
          </w:p>
          <w:p w14:paraId="38694157" w14:textId="70B31660" w:rsidR="007D18C6" w:rsidRPr="00DE4DCB" w:rsidRDefault="007D18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F03A5EE" w14:textId="4B8CA921" w:rsidR="007D18C6" w:rsidRPr="00DE4DCB" w:rsidRDefault="007D1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4DCB">
              <w:rPr>
                <w:rFonts w:asciiTheme="majorHAnsi" w:hAnsiTheme="majorHAnsi" w:cstheme="majorHAnsi"/>
                <w:sz w:val="24"/>
                <w:szCs w:val="24"/>
              </w:rPr>
              <w:t xml:space="preserve">Domstolen kan i dom besluta vad som ska gälla.  </w:t>
            </w:r>
          </w:p>
          <w:p w14:paraId="38FC6E50" w14:textId="5DFB9609" w:rsidR="007D18C6" w:rsidRPr="00DE4DCB" w:rsidRDefault="007D18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D18C6" w:rsidRPr="00DE4DCB" w14:paraId="7666D085" w14:textId="77777777" w:rsidTr="00AE5FBA">
        <w:tc>
          <w:tcPr>
            <w:tcW w:w="4531" w:type="dxa"/>
          </w:tcPr>
          <w:p w14:paraId="11471169" w14:textId="5BA6F6A9" w:rsidR="007D18C6" w:rsidRPr="00DE4DCB" w:rsidRDefault="007D1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4DCB">
              <w:rPr>
                <w:rFonts w:asciiTheme="majorHAnsi" w:hAnsiTheme="majorHAnsi" w:cstheme="majorHAnsi"/>
                <w:sz w:val="24"/>
                <w:szCs w:val="24"/>
              </w:rPr>
              <w:t xml:space="preserve">Domstolen gör en bedömning av </w:t>
            </w:r>
            <w:r w:rsidR="00DE4DCB" w:rsidRPr="00DE4DCB">
              <w:rPr>
                <w:rFonts w:asciiTheme="majorHAnsi" w:hAnsiTheme="majorHAnsi" w:cstheme="majorHAnsi"/>
                <w:sz w:val="24"/>
                <w:szCs w:val="24"/>
              </w:rPr>
              <w:t xml:space="preserve">om </w:t>
            </w:r>
          </w:p>
          <w:p w14:paraId="673D441F" w14:textId="7EDE2918" w:rsidR="00DE4DCB" w:rsidRPr="00D3256E" w:rsidRDefault="00DE4DCB" w:rsidP="00D3256E">
            <w:pPr>
              <w:pStyle w:val="Liststyck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3256E">
              <w:rPr>
                <w:rFonts w:asciiTheme="majorHAnsi" w:hAnsiTheme="majorHAnsi" w:cstheme="majorHAnsi"/>
                <w:sz w:val="24"/>
                <w:szCs w:val="24"/>
              </w:rPr>
              <w:t>kommit till i laga ordning</w:t>
            </w:r>
          </w:p>
          <w:p w14:paraId="5FC9E382" w14:textId="163B0CA7" w:rsidR="00DE4DCB" w:rsidRPr="00D3256E" w:rsidRDefault="00DE4DCB" w:rsidP="00D3256E">
            <w:pPr>
              <w:pStyle w:val="Liststyck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3256E">
              <w:rPr>
                <w:rFonts w:asciiTheme="majorHAnsi" w:hAnsiTheme="majorHAnsi" w:cstheme="majorHAnsi"/>
                <w:sz w:val="24"/>
                <w:szCs w:val="24"/>
              </w:rPr>
              <w:t xml:space="preserve">angelägenhet för kommunen </w:t>
            </w:r>
          </w:p>
          <w:p w14:paraId="7D935E6A" w14:textId="19D5C75F" w:rsidR="00DE4DCB" w:rsidRPr="00D3256E" w:rsidRDefault="00DE4DCB" w:rsidP="00D3256E">
            <w:pPr>
              <w:pStyle w:val="Liststyck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3256E">
              <w:rPr>
                <w:rFonts w:asciiTheme="majorHAnsi" w:hAnsiTheme="majorHAnsi" w:cstheme="majorHAnsi"/>
                <w:sz w:val="24"/>
                <w:szCs w:val="24"/>
              </w:rPr>
              <w:t>beslutsfattaren överskridit befogenheter</w:t>
            </w:r>
          </w:p>
          <w:p w14:paraId="525828AD" w14:textId="748267CE" w:rsidR="007D18C6" w:rsidRPr="00D3256E" w:rsidRDefault="00DE4DCB" w:rsidP="00D3256E">
            <w:pPr>
              <w:pStyle w:val="Liststyck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3256E">
              <w:rPr>
                <w:rFonts w:asciiTheme="majorHAnsi" w:hAnsiTheme="majorHAnsi" w:cstheme="majorHAnsi"/>
                <w:sz w:val="24"/>
                <w:szCs w:val="24"/>
              </w:rPr>
              <w:t>strider mot lag</w:t>
            </w:r>
            <w:r w:rsidR="001B6728">
              <w:rPr>
                <w:rFonts w:asciiTheme="majorHAnsi" w:hAnsiTheme="majorHAnsi" w:cstheme="majorHAnsi"/>
                <w:sz w:val="24"/>
                <w:szCs w:val="24"/>
              </w:rPr>
              <w:t xml:space="preserve"> eller </w:t>
            </w:r>
            <w:r w:rsidRPr="00D3256E">
              <w:rPr>
                <w:rFonts w:asciiTheme="majorHAnsi" w:hAnsiTheme="majorHAnsi" w:cstheme="majorHAnsi"/>
                <w:sz w:val="24"/>
                <w:szCs w:val="24"/>
              </w:rPr>
              <w:t xml:space="preserve">författning </w:t>
            </w:r>
          </w:p>
          <w:p w14:paraId="1893BD7B" w14:textId="77777777" w:rsidR="007D18C6" w:rsidRPr="00DE4DCB" w:rsidRDefault="007D18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61832C" w14:textId="77777777" w:rsidR="007D18C6" w:rsidRPr="00DE4DCB" w:rsidRDefault="007D1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4DCB">
              <w:rPr>
                <w:rFonts w:asciiTheme="majorHAnsi" w:hAnsiTheme="majorHAnsi" w:cstheme="majorHAnsi"/>
                <w:sz w:val="24"/>
                <w:szCs w:val="24"/>
              </w:rPr>
              <w:t>Domstolen gör en bedömning av lämpligheten och innehållet i beslutet.</w:t>
            </w:r>
          </w:p>
          <w:p w14:paraId="76D8CE14" w14:textId="2EEE3484" w:rsidR="007D18C6" w:rsidRPr="00DE4DCB" w:rsidRDefault="007D1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4D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AE5FBA" w:rsidRPr="00DE4DCB" w14:paraId="1FC37E88" w14:textId="77777777" w:rsidTr="00AE5FBA">
        <w:tc>
          <w:tcPr>
            <w:tcW w:w="4531" w:type="dxa"/>
          </w:tcPr>
          <w:p w14:paraId="05AAF126" w14:textId="49D52FAA" w:rsidR="00AE5FBA" w:rsidRPr="00DE4DCB" w:rsidRDefault="00AE5F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4DCB">
              <w:rPr>
                <w:rFonts w:asciiTheme="majorHAnsi" w:hAnsiTheme="majorHAnsi" w:cstheme="majorHAnsi"/>
                <w:sz w:val="24"/>
                <w:szCs w:val="24"/>
              </w:rPr>
              <w:t xml:space="preserve">Skickas direkt </w:t>
            </w:r>
            <w:r w:rsidR="009B4559" w:rsidRPr="00DE4DCB">
              <w:rPr>
                <w:rFonts w:asciiTheme="majorHAnsi" w:hAnsiTheme="majorHAnsi" w:cstheme="majorHAnsi"/>
                <w:sz w:val="24"/>
                <w:szCs w:val="24"/>
              </w:rPr>
              <w:t xml:space="preserve">av klagande </w:t>
            </w:r>
            <w:r w:rsidRPr="00DE4DCB">
              <w:rPr>
                <w:rFonts w:asciiTheme="majorHAnsi" w:hAnsiTheme="majorHAnsi" w:cstheme="majorHAnsi"/>
                <w:sz w:val="24"/>
                <w:szCs w:val="24"/>
              </w:rPr>
              <w:t>till förvaltningsrätten inom tre veckor från att anslogs</w:t>
            </w:r>
            <w:r w:rsidR="009B4559" w:rsidRPr="00DE4DCB">
              <w:rPr>
                <w:rFonts w:asciiTheme="majorHAnsi" w:hAnsiTheme="majorHAnsi" w:cstheme="majorHAnsi"/>
                <w:sz w:val="24"/>
                <w:szCs w:val="24"/>
              </w:rPr>
              <w:t xml:space="preserve"> på anslagstavlan. Om vi får felaktigt inom tre veckor ska vi skicka vidare. </w:t>
            </w:r>
          </w:p>
        </w:tc>
        <w:tc>
          <w:tcPr>
            <w:tcW w:w="4531" w:type="dxa"/>
          </w:tcPr>
          <w:p w14:paraId="5CA7D3C9" w14:textId="77777777" w:rsidR="00AE5FBA" w:rsidRPr="00DE4DCB" w:rsidRDefault="009B455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4DCB">
              <w:rPr>
                <w:rFonts w:asciiTheme="majorHAnsi" w:hAnsiTheme="majorHAnsi" w:cstheme="majorHAnsi"/>
                <w:sz w:val="24"/>
                <w:szCs w:val="24"/>
              </w:rPr>
              <w:t>Klagande ska skickas till kommunen som skickar vidare till allmän förvaltningsdomstol (förvaltningsrätten) eller den domstol som gäller enligt den aktuella lagstiftningen.</w:t>
            </w:r>
          </w:p>
          <w:p w14:paraId="09F1E3F9" w14:textId="62C02187" w:rsidR="007D18C6" w:rsidRPr="00DE4DCB" w:rsidRDefault="007D18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5FBA" w:rsidRPr="00DE4DCB" w14:paraId="7FDB40FF" w14:textId="77777777" w:rsidTr="00AE5FBA">
        <w:tc>
          <w:tcPr>
            <w:tcW w:w="4531" w:type="dxa"/>
          </w:tcPr>
          <w:p w14:paraId="30EA3688" w14:textId="77777777" w:rsidR="00AE5FBA" w:rsidRPr="00DE4DCB" w:rsidRDefault="00AE5FB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43AD3C7" w14:textId="35B085F2" w:rsidR="00AE5FBA" w:rsidRPr="00DE4DCB" w:rsidRDefault="009B4559" w:rsidP="00DE4DCB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4DCB">
              <w:rPr>
                <w:rFonts w:asciiTheme="majorHAnsi" w:hAnsiTheme="majorHAnsi" w:cstheme="majorHAnsi"/>
                <w:sz w:val="24"/>
                <w:szCs w:val="24"/>
              </w:rPr>
              <w:t xml:space="preserve">Kommunen gör rättidsprövning och avvisar överklagandet om det </w:t>
            </w:r>
            <w:r w:rsidR="007D18C6" w:rsidRPr="00DE4DCB">
              <w:rPr>
                <w:rFonts w:asciiTheme="majorHAnsi" w:hAnsiTheme="majorHAnsi" w:cstheme="majorHAnsi"/>
                <w:sz w:val="24"/>
                <w:szCs w:val="24"/>
              </w:rPr>
              <w:t xml:space="preserve">inte </w:t>
            </w:r>
            <w:r w:rsidRPr="00DE4DCB">
              <w:rPr>
                <w:rFonts w:asciiTheme="majorHAnsi" w:hAnsiTheme="majorHAnsi" w:cstheme="majorHAnsi"/>
                <w:sz w:val="24"/>
                <w:szCs w:val="24"/>
              </w:rPr>
              <w:t xml:space="preserve">har inkommit </w:t>
            </w:r>
            <w:r w:rsidR="007D18C6" w:rsidRPr="00DE4DC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inom tre veckor</w:t>
            </w:r>
            <w:r w:rsidRPr="00DE4DCB">
              <w:rPr>
                <w:rFonts w:asciiTheme="majorHAnsi" w:hAnsiTheme="majorHAnsi" w:cstheme="majorHAnsi"/>
                <w:sz w:val="24"/>
                <w:szCs w:val="24"/>
              </w:rPr>
              <w:t>. Av</w:t>
            </w:r>
            <w:r w:rsidR="00B03559" w:rsidRPr="00DE4DCB"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Pr="00DE4DCB">
              <w:rPr>
                <w:rFonts w:asciiTheme="majorHAnsi" w:hAnsiTheme="majorHAnsi" w:cstheme="majorHAnsi"/>
                <w:sz w:val="24"/>
                <w:szCs w:val="24"/>
              </w:rPr>
              <w:t xml:space="preserve">isningsbeslutet kan </w:t>
            </w:r>
            <w:r w:rsidR="00B03559" w:rsidRPr="00DE4DCB">
              <w:rPr>
                <w:rFonts w:asciiTheme="majorHAnsi" w:hAnsiTheme="majorHAnsi" w:cstheme="majorHAnsi"/>
                <w:sz w:val="24"/>
                <w:szCs w:val="24"/>
              </w:rPr>
              <w:t>överklagas särskilt.</w:t>
            </w:r>
          </w:p>
        </w:tc>
      </w:tr>
      <w:tr w:rsidR="00AE5FBA" w:rsidRPr="00DE4DCB" w14:paraId="2D4A9A32" w14:textId="77777777" w:rsidTr="00AE5FBA">
        <w:tc>
          <w:tcPr>
            <w:tcW w:w="4531" w:type="dxa"/>
          </w:tcPr>
          <w:p w14:paraId="19597053" w14:textId="77777777" w:rsidR="00AE5FBA" w:rsidRPr="00DE4DCB" w:rsidRDefault="00AE5FB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9F3C6E4" w14:textId="77777777" w:rsidR="00AE5FBA" w:rsidRPr="00DE4DCB" w:rsidRDefault="007D1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4DCB">
              <w:rPr>
                <w:rFonts w:asciiTheme="majorHAnsi" w:hAnsiTheme="majorHAnsi" w:cstheme="majorHAnsi"/>
                <w:sz w:val="24"/>
                <w:szCs w:val="24"/>
              </w:rPr>
              <w:t>Överinstansen prövar frågor om att avvisa ett överklagande på någon annan grund än att det har kommit in för sent.</w:t>
            </w:r>
          </w:p>
          <w:p w14:paraId="1736D308" w14:textId="132183A1" w:rsidR="00DE4DCB" w:rsidRPr="00DE4DCB" w:rsidRDefault="00DE4DC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D18C6" w:rsidRPr="00DE4DCB" w14:paraId="16EE08DA" w14:textId="77777777" w:rsidTr="00AE5FBA">
        <w:tc>
          <w:tcPr>
            <w:tcW w:w="4531" w:type="dxa"/>
          </w:tcPr>
          <w:p w14:paraId="23C8924A" w14:textId="227E9709" w:rsidR="007D18C6" w:rsidRPr="00DE4DCB" w:rsidRDefault="00DE4DC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4DCB">
              <w:rPr>
                <w:rFonts w:asciiTheme="majorHAnsi" w:hAnsiTheme="majorHAnsi" w:cstheme="majorHAnsi"/>
                <w:sz w:val="24"/>
                <w:szCs w:val="24"/>
              </w:rPr>
              <w:t>Kommunen behöver inte lämna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DE4DCB">
              <w:rPr>
                <w:rFonts w:asciiTheme="majorHAnsi" w:hAnsiTheme="majorHAnsi" w:cstheme="majorHAnsi"/>
                <w:sz w:val="24"/>
                <w:szCs w:val="24"/>
              </w:rPr>
              <w:t>överklagandehänvisning</w:t>
            </w:r>
          </w:p>
        </w:tc>
        <w:tc>
          <w:tcPr>
            <w:tcW w:w="4531" w:type="dxa"/>
          </w:tcPr>
          <w:p w14:paraId="60A0E13F" w14:textId="65DA43FC" w:rsidR="007D18C6" w:rsidRPr="00DE4DCB" w:rsidRDefault="007D1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4DCB">
              <w:rPr>
                <w:rFonts w:asciiTheme="majorHAnsi" w:hAnsiTheme="majorHAnsi" w:cstheme="majorHAnsi"/>
                <w:sz w:val="24"/>
                <w:szCs w:val="24"/>
              </w:rPr>
              <w:t xml:space="preserve">Kommunen ska lämna överklagandehänvisning </w:t>
            </w:r>
          </w:p>
        </w:tc>
      </w:tr>
    </w:tbl>
    <w:p w14:paraId="1688B2CF" w14:textId="77777777" w:rsidR="00774EC8" w:rsidRPr="00DE4DCB" w:rsidRDefault="00774EC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D4293C8" w14:textId="77777777" w:rsidR="00101877" w:rsidRPr="00DE4DCB" w:rsidRDefault="00101877">
      <w:pPr>
        <w:rPr>
          <w:sz w:val="24"/>
          <w:szCs w:val="24"/>
        </w:rPr>
      </w:pPr>
    </w:p>
    <w:p w14:paraId="2C11A13B" w14:textId="77777777" w:rsidR="00223607" w:rsidRPr="00DE4DCB" w:rsidRDefault="00223607">
      <w:pPr>
        <w:rPr>
          <w:sz w:val="24"/>
          <w:szCs w:val="24"/>
        </w:rPr>
      </w:pPr>
    </w:p>
    <w:p w14:paraId="33EBA4A6" w14:textId="77777777" w:rsidR="00101877" w:rsidRPr="00DE4DCB" w:rsidRDefault="00101877">
      <w:pPr>
        <w:rPr>
          <w:sz w:val="24"/>
          <w:szCs w:val="24"/>
        </w:rPr>
      </w:pPr>
    </w:p>
    <w:p w14:paraId="2A102C64" w14:textId="77777777" w:rsidR="00101877" w:rsidRPr="00DE4DCB" w:rsidRDefault="00101877">
      <w:pPr>
        <w:rPr>
          <w:sz w:val="24"/>
          <w:szCs w:val="24"/>
        </w:rPr>
      </w:pPr>
    </w:p>
    <w:sectPr w:rsidR="00101877" w:rsidRPr="00DE4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B1EC5"/>
    <w:multiLevelType w:val="hybridMultilevel"/>
    <w:tmpl w:val="A9BC1BC4"/>
    <w:lvl w:ilvl="0" w:tplc="1D5E16F2">
      <w:start w:val="4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B7C21"/>
    <w:multiLevelType w:val="hybridMultilevel"/>
    <w:tmpl w:val="AE08FFF4"/>
    <w:lvl w:ilvl="0" w:tplc="1D5E16F2">
      <w:start w:val="4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830388">
    <w:abstractNumId w:val="0"/>
  </w:num>
  <w:num w:numId="2" w16cid:durableId="1134064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77"/>
    <w:rsid w:val="000D0631"/>
    <w:rsid w:val="000F3C97"/>
    <w:rsid w:val="00101877"/>
    <w:rsid w:val="0018709F"/>
    <w:rsid w:val="001B6728"/>
    <w:rsid w:val="001D27A4"/>
    <w:rsid w:val="00223607"/>
    <w:rsid w:val="00236BFE"/>
    <w:rsid w:val="00252B3C"/>
    <w:rsid w:val="002F131B"/>
    <w:rsid w:val="003535F7"/>
    <w:rsid w:val="004E1135"/>
    <w:rsid w:val="004F65A0"/>
    <w:rsid w:val="00737C50"/>
    <w:rsid w:val="00774EC8"/>
    <w:rsid w:val="007D18C6"/>
    <w:rsid w:val="0097545E"/>
    <w:rsid w:val="009B4559"/>
    <w:rsid w:val="009F317D"/>
    <w:rsid w:val="00A21148"/>
    <w:rsid w:val="00AE5FBA"/>
    <w:rsid w:val="00B03559"/>
    <w:rsid w:val="00C65042"/>
    <w:rsid w:val="00C73CF1"/>
    <w:rsid w:val="00D3256E"/>
    <w:rsid w:val="00DE4DCB"/>
    <w:rsid w:val="00F374DE"/>
    <w:rsid w:val="00FC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7BD7"/>
  <w15:chartTrackingRefBased/>
  <w15:docId w15:val="{6C1EFCA6-C939-47FE-8B22-EC8C65F5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01877"/>
    <w:rPr>
      <w:color w:val="0000FF"/>
      <w:u w:val="single"/>
    </w:rPr>
  </w:style>
  <w:style w:type="table" w:styleId="Tabellrutnt">
    <w:name w:val="Table Grid"/>
    <w:basedOn w:val="Normaltabell"/>
    <w:uiPriority w:val="39"/>
    <w:rsid w:val="00A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E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348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Ralph</dc:creator>
  <cp:keywords/>
  <dc:description/>
  <cp:lastModifiedBy>Jennifer Ralph</cp:lastModifiedBy>
  <cp:revision>6</cp:revision>
  <dcterms:created xsi:type="dcterms:W3CDTF">2023-09-19T04:06:00Z</dcterms:created>
  <dcterms:modified xsi:type="dcterms:W3CDTF">2023-09-19T06:28:00Z</dcterms:modified>
</cp:coreProperties>
</file>